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jc w:val="center"/>
        <w:rPr>
          <w:rFonts w:eastAsia="黑体"/>
          <w:b/>
          <w:sz w:val="52"/>
          <w:szCs w:val="52"/>
        </w:rPr>
      </w:pPr>
    </w:p>
    <w:p>
      <w:pPr>
        <w:pStyle w:val="15"/>
        <w:jc w:val="center"/>
        <w:rPr>
          <w:rFonts w:eastAsia="黑体"/>
          <w:b/>
          <w:sz w:val="52"/>
          <w:szCs w:val="52"/>
        </w:rPr>
      </w:pPr>
    </w:p>
    <w:p>
      <w:pPr>
        <w:pStyle w:val="15"/>
        <w:jc w:val="center"/>
        <w:rPr>
          <w:rFonts w:eastAsia="黑体"/>
          <w:b/>
          <w:sz w:val="52"/>
          <w:szCs w:val="52"/>
        </w:rPr>
      </w:pPr>
    </w:p>
    <w:p>
      <w:pPr>
        <w:ind w:left="420" w:firstLine="0" w:firstLineChars="0"/>
        <w:jc w:val="center"/>
        <w:rPr>
          <w:rFonts w:hint="eastAsia"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吉林省公共资源交易一体化平台</w:t>
      </w:r>
    </w:p>
    <w:p>
      <w:pPr>
        <w:ind w:left="420" w:firstLine="0" w:firstLineChars="0"/>
        <w:jc w:val="center"/>
        <w:rPr>
          <w:rFonts w:hint="eastAsia"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农田</w:t>
      </w:r>
      <w:r>
        <w:rPr>
          <w:rFonts w:hint="eastAsia" w:eastAsia="黑体"/>
          <w:b/>
          <w:sz w:val="52"/>
          <w:szCs w:val="52"/>
        </w:rPr>
        <w:t>工程（招标代理）</w:t>
      </w:r>
    </w:p>
    <w:p>
      <w:pPr>
        <w:ind w:left="420" w:firstLine="0" w:firstLineChars="0"/>
        <w:jc w:val="center"/>
        <w:rPr>
          <w:rFonts w:hint="eastAsia"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操作手册</w:t>
      </w:r>
    </w:p>
    <w:p>
      <w:r>
        <w:br w:type="page"/>
      </w:r>
    </w:p>
    <w:p>
      <w:pPr>
        <w:pStyle w:val="2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4"/>
          <w:szCs w:val="20"/>
        </w:rPr>
      </w:sdtEndPr>
      <w:sdtContent>
        <w:p>
          <w:pPr>
            <w:spacing w:line="240" w:lineRule="auto"/>
            <w:ind w:firstLine="0" w:firstLineChars="0"/>
            <w:jc w:val="center"/>
          </w:pPr>
        </w:p>
        <w:p>
          <w:pPr>
            <w:pStyle w:val="9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_Toc19701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t>系统前期准备</w:t>
          </w:r>
          <w:r>
            <w:tab/>
          </w:r>
          <w:r>
            <w:fldChar w:fldCharType="begin"/>
          </w:r>
          <w:r>
            <w:instrText xml:space="preserve"> PAGEREF _Toc19701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_Toc2737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1.1、 </w:t>
          </w:r>
          <w:r>
            <w:t>驱动安装说明</w:t>
          </w:r>
          <w:r>
            <w:tab/>
          </w:r>
          <w:r>
            <w:fldChar w:fldCharType="begin"/>
          </w:r>
          <w:r>
            <w:instrText xml:space="preserve"> PAGEREF _Toc2737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_Toc358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1.1.1、 </w:t>
          </w:r>
          <w:r>
            <w:t>安装驱动程序</w:t>
          </w:r>
          <w:r>
            <w:tab/>
          </w:r>
          <w:r>
            <w:fldChar w:fldCharType="begin"/>
          </w:r>
          <w:r>
            <w:instrText xml:space="preserve"> PAGEREF _Toc358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_Toc6976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1.2、 </w:t>
          </w:r>
          <w:r>
            <w:t>检测工具</w:t>
          </w:r>
          <w:r>
            <w:tab/>
          </w:r>
          <w:r>
            <w:fldChar w:fldCharType="begin"/>
          </w:r>
          <w:r>
            <w:instrText xml:space="preserve"> PAGEREF _Toc6976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_Toc27318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1.2.1、 </w:t>
          </w:r>
          <w:r>
            <w:t>启动检测工具</w:t>
          </w:r>
          <w:r>
            <w:tab/>
          </w:r>
          <w:r>
            <w:fldChar w:fldCharType="begin"/>
          </w:r>
          <w:r>
            <w:instrText xml:space="preserve"> PAGEREF _Toc27318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_Toc8310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1.2.2、 </w:t>
          </w:r>
          <w:r>
            <w:t>系统检测</w:t>
          </w:r>
          <w:r>
            <w:tab/>
          </w:r>
          <w:r>
            <w:fldChar w:fldCharType="begin"/>
          </w:r>
          <w:r>
            <w:instrText xml:space="preserve"> PAGEREF _Toc8310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_Toc24898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1.2.3、 </w:t>
          </w:r>
          <w:r>
            <w:t>控件检测</w:t>
          </w:r>
          <w:r>
            <w:tab/>
          </w:r>
          <w:r>
            <w:fldChar w:fldCharType="begin"/>
          </w:r>
          <w:r>
            <w:instrText xml:space="preserve"> PAGEREF _Toc24898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_Toc19813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1.2.4、 </w:t>
          </w:r>
          <w:r>
            <w:t>证书检测</w:t>
          </w:r>
          <w:r>
            <w:tab/>
          </w:r>
          <w:r>
            <w:fldChar w:fldCharType="begin"/>
          </w:r>
          <w:r>
            <w:instrText xml:space="preserve"> PAGEREF _Toc19813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_Toc16212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1.2.5、 </w:t>
          </w:r>
          <w:r>
            <w:t>签章检测</w:t>
          </w:r>
          <w:r>
            <w:tab/>
          </w:r>
          <w:r>
            <w:fldChar w:fldCharType="begin"/>
          </w:r>
          <w:r>
            <w:instrText xml:space="preserve"> PAGEREF _Toc16212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_Toc16557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1.3、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_Toc16557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_Toc2210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_Toc2210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_Toc6262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_Toc6262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_Toc3795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二、招标流程介绍</w:t>
          </w:r>
          <w:r>
            <w:tab/>
          </w:r>
          <w:r>
            <w:fldChar w:fldCharType="begin"/>
          </w:r>
          <w:r>
            <w:instrText xml:space="preserve"> PAGEREF _Toc3795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_Toc25441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2.1、 </w:t>
          </w:r>
          <w:r>
            <w:rPr>
              <w:rFonts w:hint="eastAsia"/>
            </w:rPr>
            <w:t>项目注册</w:t>
          </w:r>
          <w:r>
            <w:tab/>
          </w:r>
          <w:r>
            <w:fldChar w:fldCharType="begin"/>
          </w:r>
          <w:r>
            <w:instrText xml:space="preserve"> PAGEREF _Toc25441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_Toc821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2.1.1、 </w:t>
          </w:r>
          <w:r>
            <w:rPr>
              <w:rFonts w:hint="eastAsia"/>
            </w:rPr>
            <w:t>前置条件</w:t>
          </w:r>
          <w:r>
            <w:tab/>
          </w:r>
          <w:r>
            <w:fldChar w:fldCharType="begin"/>
          </w:r>
          <w:r>
            <w:instrText xml:space="preserve"> PAGEREF _Toc821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_Toc15857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_Toc15857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_Toc9985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2.1.3、 </w:t>
          </w:r>
          <w:r>
            <w:rPr>
              <w:rFonts w:hint="eastAsia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_Toc9985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_Toc10292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2.2、 </w:t>
          </w:r>
          <w:r>
            <w:rPr>
              <w:rFonts w:hint="eastAsia"/>
            </w:rPr>
            <w:t>招标项目</w:t>
          </w:r>
          <w:r>
            <w:tab/>
          </w:r>
          <w:r>
            <w:fldChar w:fldCharType="begin"/>
          </w:r>
          <w:r>
            <w:instrText xml:space="preserve"> PAGEREF _Toc10292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_Toc5859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2.2.1、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_Toc5859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_Toc15795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2.2.2、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_Toc15795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_Toc21407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2.2.3、 </w:t>
          </w:r>
          <w:r>
            <w:rPr>
              <w:rFonts w:hint="eastAsia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_Toc21407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_Toc2550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2.3、 </w:t>
          </w:r>
          <w:r>
            <w:rPr>
              <w:rFonts w:hint="eastAsia"/>
            </w:rPr>
            <w:t>场地预约</w:t>
          </w:r>
          <w:r>
            <w:tab/>
          </w:r>
          <w:r>
            <w:fldChar w:fldCharType="begin"/>
          </w:r>
          <w:r>
            <w:instrText xml:space="preserve"> PAGEREF _Toc2550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_Toc30989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2.3.1、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_Toc30989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_Toc17955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2.3.2、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_Toc17955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_Toc24001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2.3.3、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_Toc24001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_Toc28790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2.4、 </w:t>
          </w:r>
          <w:r>
            <w:rPr>
              <w:rFonts w:hint="eastAsia"/>
            </w:rPr>
            <w:t>场地变更</w:t>
          </w:r>
          <w:r>
            <w:tab/>
          </w:r>
          <w:r>
            <w:fldChar w:fldCharType="begin"/>
          </w:r>
          <w:r>
            <w:instrText xml:space="preserve"> PAGEREF _Toc28790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_Toc26902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2.4.1、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_Toc26902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_Toc29869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2.4.2、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_Toc29869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_Toc6776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2.4.3、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_Toc6776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_Toc5272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2.5、 </w:t>
          </w:r>
          <w:r>
            <w:rPr>
              <w:rFonts w:hint="eastAsia"/>
            </w:rPr>
            <w:t>评标复议场地预约</w:t>
          </w:r>
          <w:r>
            <w:tab/>
          </w:r>
          <w:r>
            <w:fldChar w:fldCharType="begin"/>
          </w:r>
          <w:r>
            <w:instrText xml:space="preserve"> PAGEREF _Toc5272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_Toc21538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2.5.1、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_Toc21538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_Toc31346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2.5.2、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_Toc31346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_Toc19629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2.5.3、 </w:t>
          </w:r>
          <w:r>
            <w:rPr>
              <w:rFonts w:hint="eastAsia"/>
            </w:rPr>
            <w:t>基本步骤：</w:t>
          </w:r>
          <w:r>
            <w:tab/>
          </w:r>
          <w:r>
            <w:fldChar w:fldCharType="begin"/>
          </w:r>
          <w:r>
            <w:instrText xml:space="preserve"> PAGEREF _Toc19629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_Toc27304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2.6、 </w:t>
          </w:r>
          <w:r>
            <w:rPr>
              <w:rFonts w:hint="eastAsia"/>
            </w:rPr>
            <w:t>组建监督员</w:t>
          </w:r>
          <w:r>
            <w:tab/>
          </w:r>
          <w:r>
            <w:fldChar w:fldCharType="begin"/>
          </w:r>
          <w:r>
            <w:instrText xml:space="preserve"> PAGEREF _Toc27304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_Toc26141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2.6.1、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_Toc26141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_Toc31037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2.6.2、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_Toc31037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_Toc24144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2.6.3、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_Toc24144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_Toc1774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2.7、 </w:t>
          </w:r>
          <w:r>
            <w:rPr>
              <w:rFonts w:hint="eastAsia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_Toc1774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_Toc11264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2.7.1、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_Toc11264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_Toc11449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2.7.2、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_Toc11449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_Toc13491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2.7.3、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_Toc13491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_Toc12419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2.8、 </w:t>
          </w:r>
          <w:r>
            <w:rPr>
              <w:rFonts w:hint="eastAsia"/>
            </w:rPr>
            <w:t>变更公告</w:t>
          </w:r>
          <w:r>
            <w:tab/>
          </w:r>
          <w:r>
            <w:fldChar w:fldCharType="begin"/>
          </w:r>
          <w:r>
            <w:instrText xml:space="preserve"> PAGEREF _Toc12419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_Toc11087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2.8.1、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_Toc11087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_Toc13282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2.8.2、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_Toc13282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_Toc9264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2.8.3、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_Toc9264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_Toc5731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2.9、 </w:t>
          </w:r>
          <w:r>
            <w:rPr>
              <w:rFonts w:hint="eastAsia"/>
            </w:rPr>
            <w:t>招标文件制作</w:t>
          </w:r>
          <w:r>
            <w:tab/>
          </w:r>
          <w:r>
            <w:fldChar w:fldCharType="begin"/>
          </w:r>
          <w:r>
            <w:instrText xml:space="preserve"> PAGEREF _Toc5731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_Toc4838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2.9.1、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_Toc4838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_Toc3770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2.9.2、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_Toc3770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_Toc18194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2.9.3、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_Toc18194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_Toc23234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2.10、 </w:t>
          </w:r>
          <w:r>
            <w:rPr>
              <w:rFonts w:hint="eastAsia"/>
            </w:rPr>
            <w:t>答疑澄清文件</w:t>
          </w:r>
          <w:r>
            <w:tab/>
          </w:r>
          <w:r>
            <w:fldChar w:fldCharType="begin"/>
          </w:r>
          <w:r>
            <w:instrText xml:space="preserve"> PAGEREF _Toc23234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_Toc26870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2.10.1、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_Toc26870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_Toc9277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2.10.2、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_Toc9277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_Toc15283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2.10.3、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_Toc15283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_Toc26788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2.11、 </w:t>
          </w:r>
          <w:r>
            <w:rPr>
              <w:rFonts w:hint="eastAsia"/>
            </w:rPr>
            <w:t>新增特殊人员录入</w:t>
          </w:r>
          <w:r>
            <w:tab/>
          </w:r>
          <w:r>
            <w:fldChar w:fldCharType="begin"/>
          </w:r>
          <w:r>
            <w:instrText xml:space="preserve"> PAGEREF _Toc26788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_Toc23115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2.11.1、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_Toc23115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_Toc25750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2.11.2、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_Toc25750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_Toc3553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2.11.3、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_Toc3553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_Toc18344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2.12、 </w:t>
          </w:r>
          <w:r>
            <w:rPr>
              <w:rFonts w:hint="eastAsia"/>
            </w:rPr>
            <w:t>废标公告</w:t>
          </w:r>
          <w:r>
            <w:tab/>
          </w:r>
          <w:r>
            <w:fldChar w:fldCharType="begin"/>
          </w:r>
          <w:r>
            <w:instrText xml:space="preserve"> PAGEREF _Toc18344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_Toc3792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2.12.1、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_Toc3792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_Toc23443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2.12.2、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_Toc23443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_Toc20358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2.12.3、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_Toc20358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_Toc25124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2.13、 </w:t>
          </w:r>
          <w:r>
            <w:rPr>
              <w:rFonts w:hint="eastAsia"/>
            </w:rPr>
            <w:t>中标候选人公示</w:t>
          </w:r>
          <w:r>
            <w:tab/>
          </w:r>
          <w:r>
            <w:fldChar w:fldCharType="begin"/>
          </w:r>
          <w:r>
            <w:instrText xml:space="preserve"> PAGEREF _Toc25124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_Toc10068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2.13.1、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_Toc10068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_Toc18263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2.13.2、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_Toc18263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_Toc9352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2.13.3、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_Toc9352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_Toc29047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2.14、 </w:t>
          </w:r>
          <w:r>
            <w:rPr>
              <w:rFonts w:hint="eastAsia"/>
            </w:rPr>
            <w:t>中标结果公告</w:t>
          </w:r>
          <w:r>
            <w:tab/>
          </w:r>
          <w:r>
            <w:fldChar w:fldCharType="begin"/>
          </w:r>
          <w:r>
            <w:instrText xml:space="preserve"> PAGEREF _Toc29047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_Toc18574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2.14.1、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_Toc18574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_Toc1871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2.14.2、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_Toc1871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_Toc17903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2.14.3、 </w:t>
          </w:r>
          <w:r>
            <w:rPr>
              <w:rFonts w:hint="eastAsia"/>
            </w:rPr>
            <w:t>基本步骤</w:t>
          </w:r>
          <w:r>
            <w:tab/>
          </w:r>
          <w:r>
            <w:fldChar w:fldCharType="begin"/>
          </w:r>
          <w:r>
            <w:instrText xml:space="preserve"> PAGEREF _Toc17903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_Toc1179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2.15、 </w:t>
          </w:r>
          <w:r>
            <w:rPr>
              <w:rFonts w:hint="eastAsia"/>
            </w:rPr>
            <w:t>中标通知书</w:t>
          </w:r>
          <w:r>
            <w:tab/>
          </w:r>
          <w:r>
            <w:fldChar w:fldCharType="begin"/>
          </w:r>
          <w:r>
            <w:instrText xml:space="preserve"> PAGEREF _Toc1179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_Toc22367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2.15.1、 </w:t>
          </w:r>
          <w:r>
            <w:rPr>
              <w:rFonts w:hint="eastAsia"/>
            </w:rPr>
            <w:t>前提条件</w:t>
          </w:r>
          <w:r>
            <w:tab/>
          </w:r>
          <w:r>
            <w:fldChar w:fldCharType="begin"/>
          </w:r>
          <w:r>
            <w:instrText xml:space="preserve"> PAGEREF _Toc22367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_Toc30567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2.15.2、 </w:t>
          </w:r>
          <w:r>
            <w:rPr>
              <w:rFonts w:hint="eastAsia"/>
            </w:rPr>
            <w:t>基本功能</w:t>
          </w:r>
          <w:r>
            <w:tab/>
          </w:r>
          <w:r>
            <w:fldChar w:fldCharType="begin"/>
          </w:r>
          <w:r>
            <w:instrText xml:space="preserve"> PAGEREF _Toc30567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_Toc16454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/>
            </w:rPr>
            <w:t xml:space="preserve">三、 </w:t>
          </w:r>
          <w:r>
            <w:rPr>
              <w:rFonts w:hint="eastAsia"/>
            </w:rPr>
            <w:t>开标流程介绍</w:t>
          </w:r>
          <w:r>
            <w:tab/>
          </w:r>
          <w:r>
            <w:fldChar w:fldCharType="begin"/>
          </w:r>
          <w:r>
            <w:instrText xml:space="preserve"> PAGEREF _Toc16454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_Toc21754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2.16、 </w:t>
          </w:r>
          <w:r>
            <w:rPr>
              <w:rFonts w:hint="eastAsia"/>
            </w:rPr>
            <w:t>3.1、登录开评标系统</w:t>
          </w:r>
          <w:r>
            <w:tab/>
          </w:r>
          <w:r>
            <w:fldChar w:fldCharType="begin"/>
          </w:r>
          <w:r>
            <w:instrText xml:space="preserve"> PAGEREF _Toc21754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_Toc19032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2.17、 </w:t>
          </w:r>
          <w:r>
            <w:tab/>
          </w:r>
          <w:r>
            <w:fldChar w:fldCharType="begin"/>
          </w:r>
          <w:r>
            <w:instrText xml:space="preserve"> PAGEREF _Toc19032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_Toc2941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bCs w:val="0"/>
              <w:szCs w:val="21"/>
            </w:rPr>
            <w:t>进入项目</w:t>
          </w:r>
          <w:r>
            <w:tab/>
          </w:r>
          <w:r>
            <w:fldChar w:fldCharType="begin"/>
          </w:r>
          <w:r>
            <w:instrText xml:space="preserve"> PAGEREF _Toc2941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_Toc28995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2.18、 </w:t>
          </w:r>
          <w:r>
            <w:tab/>
          </w:r>
          <w:r>
            <w:fldChar w:fldCharType="begin"/>
          </w:r>
          <w:r>
            <w:instrText xml:space="preserve"> PAGEREF _Toc28995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_Toc23939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3.3、公布投标人</w:t>
          </w:r>
          <w:r>
            <w:tab/>
          </w:r>
          <w:r>
            <w:fldChar w:fldCharType="begin"/>
          </w:r>
          <w:r>
            <w:instrText xml:space="preserve"> PAGEREF _Toc23939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_Toc13436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3.3.1、公布投标人</w:t>
          </w:r>
          <w:r>
            <w:tab/>
          </w:r>
          <w:r>
            <w:fldChar w:fldCharType="begin"/>
          </w:r>
          <w:r>
            <w:instrText xml:space="preserve"> PAGEREF _Toc13436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_Toc16149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3.4 、投标人解密</w:t>
          </w:r>
          <w:r>
            <w:tab/>
          </w:r>
          <w:r>
            <w:fldChar w:fldCharType="begin"/>
          </w:r>
          <w:r>
            <w:instrText xml:space="preserve"> PAGEREF _Toc16149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_Toc2218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3.5 、唱标</w:t>
          </w:r>
          <w:r>
            <w:tab/>
          </w:r>
          <w:r>
            <w:fldChar w:fldCharType="begin"/>
          </w:r>
          <w:r>
            <w:instrText xml:space="preserve"> PAGEREF _Toc2218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_Toc26620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3.6 、开标结束</w:t>
          </w:r>
          <w:r>
            <w:tab/>
          </w:r>
          <w:r>
            <w:fldChar w:fldCharType="begin"/>
          </w:r>
          <w:r>
            <w:instrText xml:space="preserve"> PAGEREF _Toc26620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_Toc27975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highlight w:val="lightGray"/>
            </w:rPr>
            <w:t>四、</w:t>
          </w:r>
          <w:r>
            <w:rPr>
              <w:rFonts w:hint="eastAsia"/>
            </w:rPr>
            <w:t>评标准备</w:t>
          </w:r>
          <w:r>
            <w:tab/>
          </w:r>
          <w:r>
            <w:fldChar w:fldCharType="begin"/>
          </w:r>
          <w:r>
            <w:instrText xml:space="preserve"> PAGEREF _Toc27975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_Toc11599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4.1 、招标文件导入</w:t>
          </w:r>
          <w:r>
            <w:tab/>
          </w:r>
          <w:r>
            <w:fldChar w:fldCharType="begin"/>
          </w:r>
          <w:r>
            <w:instrText xml:space="preserve"> PAGEREF _Toc11599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_Toc4206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4.2 、控制价录入</w:t>
          </w:r>
          <w:r>
            <w:tab/>
          </w:r>
          <w:r>
            <w:fldChar w:fldCharType="begin"/>
          </w:r>
          <w:r>
            <w:instrText xml:space="preserve"> PAGEREF _Toc4206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_Toc1178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4.3 、评标办法</w:t>
          </w:r>
          <w:r>
            <w:tab/>
          </w:r>
          <w:r>
            <w:fldChar w:fldCharType="begin"/>
          </w:r>
          <w:r>
            <w:instrText xml:space="preserve"> PAGEREF _Toc1178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_Toc31215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4.4 、确认评委</w:t>
          </w:r>
          <w:r>
            <w:tab/>
          </w:r>
          <w:r>
            <w:fldChar w:fldCharType="begin"/>
          </w:r>
          <w:r>
            <w:instrText xml:space="preserve"> PAGEREF _Toc31215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_Toc25879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4.5 、确认评委回避单位</w:t>
          </w:r>
          <w:r>
            <w:tab/>
          </w:r>
          <w:r>
            <w:fldChar w:fldCharType="begin"/>
          </w:r>
          <w:r>
            <w:instrText xml:space="preserve"> PAGEREF _Toc25879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_Toc16409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4.6 、确认评委负责人</w:t>
          </w:r>
          <w:r>
            <w:tab/>
          </w:r>
          <w:r>
            <w:fldChar w:fldCharType="begin"/>
          </w:r>
          <w:r>
            <w:instrText xml:space="preserve"> PAGEREF _Toc16409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_Toc8143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highlight w:val="lightGray"/>
            </w:rPr>
            <w:t>五、</w:t>
          </w:r>
          <w:r>
            <w:rPr>
              <w:rFonts w:hint="eastAsia"/>
            </w:rPr>
            <w:t>评标结果</w:t>
          </w:r>
          <w:r>
            <w:t xml:space="preserve"> </w:t>
          </w:r>
          <w:r>
            <w:tab/>
          </w:r>
          <w:r>
            <w:fldChar w:fldCharType="begin"/>
          </w:r>
          <w:r>
            <w:instrText xml:space="preserve"> PAGEREF _Toc8143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_Toc7145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5.1 、评标结束</w:t>
          </w:r>
          <w:r>
            <w:tab/>
          </w:r>
          <w:r>
            <w:fldChar w:fldCharType="begin"/>
          </w:r>
          <w:r>
            <w:instrText xml:space="preserve"> PAGEREF _Toc7145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_Toc19868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5.2 、评标报告</w:t>
          </w:r>
          <w:r>
            <w:tab/>
          </w:r>
          <w:r>
            <w:fldChar w:fldCharType="begin"/>
          </w:r>
          <w:r>
            <w:instrText xml:space="preserve"> PAGEREF _Toc19868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6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bookmarkStart w:id="188" w:name="_GoBack"/>
      <w:bookmarkEnd w:id="188"/>
    </w:p>
    <w:p>
      <w:pPr>
        <w:widowControl/>
        <w:spacing w:line="240" w:lineRule="auto"/>
        <w:ind w:firstLine="0" w:firstLineChars="0"/>
        <w:rPr>
          <w:b/>
          <w:sz w:val="32"/>
          <w:szCs w:val="32"/>
        </w:rPr>
      </w:pPr>
    </w:p>
    <w:p>
      <w:pPr>
        <w:pStyle w:val="17"/>
        <w:ind w:firstLine="0" w:firstLineChars="0"/>
        <w:rPr>
          <w:b/>
          <w:sz w:val="32"/>
          <w:szCs w:val="32"/>
        </w:rPr>
      </w:pPr>
    </w:p>
    <w:p>
      <w:pPr>
        <w:pStyle w:val="17"/>
        <w:ind w:firstLine="0" w:firstLineChars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Style w:val="11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326"/>
        <w:gridCol w:w="1600"/>
        <w:gridCol w:w="1162"/>
        <w:gridCol w:w="31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</w:pPr>
            <w:r>
              <w:rPr>
                <w:rFonts w:hint="eastAsia"/>
              </w:rPr>
              <w:t>2020-8-1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</w:pPr>
            <w:r>
              <w:rPr>
                <w:rFonts w:hint="eastAsia"/>
              </w:rPr>
              <w:t>许泽鑫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8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ind w:firstLine="420"/>
      </w:pPr>
      <w:bookmarkStart w:id="0" w:name="_Toc346183627"/>
      <w:bookmarkStart w:id="1" w:name="_Toc404243487"/>
      <w:bookmarkStart w:id="2" w:name="_Toc404764406"/>
      <w:bookmarkStart w:id="3" w:name="_Toc346701609"/>
      <w:bookmarkStart w:id="4" w:name="_Toc225152729"/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bookmarkEnd w:id="0"/>
    <w:bookmarkEnd w:id="1"/>
    <w:bookmarkEnd w:id="2"/>
    <w:bookmarkEnd w:id="3"/>
    <w:p>
      <w:pPr>
        <w:pStyle w:val="3"/>
        <w:ind w:left="0"/>
      </w:pPr>
      <w:bookmarkStart w:id="5" w:name="_Toc475978914"/>
      <w:bookmarkStart w:id="6" w:name="_Toc53407218"/>
      <w:bookmarkStart w:id="7" w:name="_Toc7810"/>
      <w:bookmarkStart w:id="8" w:name="_Toc24650"/>
      <w:bookmarkStart w:id="9" w:name="_Toc19701"/>
      <w:bookmarkStart w:id="10" w:name="_Toc405377375"/>
      <w:bookmarkStart w:id="11" w:name="_Toc470185816"/>
      <w:bookmarkStart w:id="12" w:name="_Toc29988537"/>
      <w:r>
        <w:t>系统前期准备</w:t>
      </w:r>
      <w:bookmarkEnd w:id="5"/>
      <w:bookmarkEnd w:id="6"/>
      <w:bookmarkEnd w:id="7"/>
      <w:bookmarkEnd w:id="8"/>
      <w:bookmarkEnd w:id="9"/>
    </w:p>
    <w:p>
      <w:pPr>
        <w:pStyle w:val="4"/>
        <w:ind w:left="-142"/>
      </w:pPr>
      <w:bookmarkStart w:id="13" w:name="_Toc53407219"/>
      <w:bookmarkStart w:id="14" w:name="_Toc9296"/>
      <w:bookmarkStart w:id="15" w:name="_Toc346183628"/>
      <w:bookmarkStart w:id="16" w:name="_Toc14908"/>
      <w:bookmarkStart w:id="17" w:name="_Toc346701610"/>
      <w:bookmarkStart w:id="18" w:name="_Toc475978915"/>
      <w:bookmarkStart w:id="19" w:name="_Toc2737"/>
      <w:r>
        <w:t>驱动安装说明</w:t>
      </w:r>
      <w:bookmarkEnd w:id="13"/>
      <w:bookmarkEnd w:id="14"/>
      <w:bookmarkEnd w:id="15"/>
      <w:bookmarkEnd w:id="16"/>
      <w:bookmarkEnd w:id="17"/>
      <w:bookmarkEnd w:id="18"/>
      <w:bookmarkEnd w:id="19"/>
    </w:p>
    <w:p>
      <w:pPr>
        <w:pStyle w:val="5"/>
        <w:ind w:left="-142"/>
      </w:pPr>
      <w:bookmarkStart w:id="20" w:name="_Toc475978916"/>
      <w:bookmarkStart w:id="21" w:name="_Toc346701611"/>
      <w:bookmarkStart w:id="22" w:name="_Toc30779"/>
      <w:bookmarkStart w:id="23" w:name="_Toc16026"/>
      <w:bookmarkStart w:id="24" w:name="_Toc346183629"/>
      <w:bookmarkStart w:id="25" w:name="_Toc53407220"/>
      <w:bookmarkStart w:id="26" w:name="_Toc358"/>
      <w:r>
        <w:t>安装驱动程序</w:t>
      </w:r>
      <w:bookmarkEnd w:id="20"/>
      <w:bookmarkEnd w:id="21"/>
      <w:bookmarkEnd w:id="22"/>
      <w:bookmarkEnd w:id="23"/>
      <w:bookmarkEnd w:id="24"/>
      <w:bookmarkEnd w:id="25"/>
      <w:bookmarkEnd w:id="26"/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1、双击安装程序</w:t>
      </w:r>
      <w:r>
        <w:drawing>
          <wp:inline distT="0" distB="0" distL="114300" distR="114300">
            <wp:extent cx="920750" cy="908050"/>
            <wp:effectExtent l="0" t="0" r="635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spacing w:val="4"/>
        </w:rPr>
      </w:pPr>
      <w:r>
        <w:drawing>
          <wp:inline distT="0" distB="0" distL="114300" distR="114300">
            <wp:extent cx="5277485" cy="3962400"/>
            <wp:effectExtent l="0" t="0" r="571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注：在安装驱动之前，请确保所有浏览器均已关闭。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2、选中协议，点击“自定义安装”，打开安装目录位置。</w:t>
      </w:r>
    </w:p>
    <w:p>
      <w:pPr>
        <w:ind w:firstLine="0" w:firstLineChars="0"/>
      </w:pPr>
      <w:r>
        <w:drawing>
          <wp:inline distT="0" distB="0" distL="114300" distR="114300">
            <wp:extent cx="5274310" cy="3877310"/>
            <wp:effectExtent l="0" t="0" r="8890" b="889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如果不点击“自定义安装”，点击“快速安装”按钮，则直接开始安装驱动，安装位置默认。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3、选择需要安装的目录，点击“立即安装”按钮，开始安装驱动。</w:t>
      </w:r>
    </w:p>
    <w:p>
      <w:pPr>
        <w:ind w:firstLine="0" w:firstLineChars="0"/>
      </w:pPr>
      <w:r>
        <w:drawing>
          <wp:inline distT="0" distB="0" distL="0" distR="0">
            <wp:extent cx="5278120" cy="3958590"/>
            <wp:effectExtent l="0" t="0" r="50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4、驱动安装完成后，打开完成界面。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4310" cy="3921760"/>
            <wp:effectExtent l="0" t="0" r="889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center"/>
        <w:rPr>
          <w:b/>
          <w:spacing w:val="4"/>
          <w:sz w:val="21"/>
        </w:rPr>
      </w:pP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5、点击“完成”按钮，驱动安装成功，桌面显示图标</w:t>
      </w:r>
      <w:r>
        <w:drawing>
          <wp:inline distT="0" distB="0" distL="114300" distR="114300">
            <wp:extent cx="590550" cy="660400"/>
            <wp:effectExtent l="0" t="0" r="6350" b="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。</w:t>
      </w:r>
    </w:p>
    <w:p>
      <w:pPr>
        <w:pStyle w:val="4"/>
        <w:ind w:left="-142"/>
      </w:pPr>
      <w:bookmarkStart w:id="27" w:name="_Toc8049"/>
      <w:bookmarkStart w:id="28" w:name="_Toc346183633"/>
      <w:bookmarkStart w:id="29" w:name="_Toc53407221"/>
      <w:bookmarkStart w:id="30" w:name="_Toc19422"/>
      <w:bookmarkStart w:id="31" w:name="_Toc346701615"/>
      <w:bookmarkStart w:id="32" w:name="_Toc475978920"/>
      <w:bookmarkStart w:id="33" w:name="_Toc6976"/>
      <w:r>
        <w:t>检测工具</w:t>
      </w:r>
      <w:bookmarkEnd w:id="27"/>
      <w:bookmarkEnd w:id="28"/>
      <w:bookmarkEnd w:id="29"/>
      <w:bookmarkEnd w:id="30"/>
      <w:bookmarkEnd w:id="31"/>
      <w:bookmarkEnd w:id="32"/>
      <w:bookmarkEnd w:id="33"/>
    </w:p>
    <w:p>
      <w:pPr>
        <w:pStyle w:val="5"/>
        <w:ind w:left="930" w:hanging="1072"/>
      </w:pPr>
      <w:bookmarkStart w:id="34" w:name="_Toc346701616"/>
      <w:bookmarkStart w:id="35" w:name="_Toc8386"/>
      <w:bookmarkStart w:id="36" w:name="_Toc475978921"/>
      <w:bookmarkStart w:id="37" w:name="_Toc53407222"/>
      <w:bookmarkStart w:id="38" w:name="_Toc30193"/>
      <w:bookmarkStart w:id="39" w:name="_Toc346183634"/>
      <w:bookmarkStart w:id="40" w:name="_Toc27318"/>
      <w:r>
        <w:t>启动检测工具</w:t>
      </w:r>
      <w:bookmarkEnd w:id="34"/>
      <w:bookmarkEnd w:id="35"/>
      <w:bookmarkEnd w:id="36"/>
      <w:bookmarkEnd w:id="37"/>
      <w:bookmarkEnd w:id="38"/>
      <w:bookmarkEnd w:id="39"/>
      <w:bookmarkEnd w:id="40"/>
    </w:p>
    <w:p>
      <w:pPr>
        <w:ind w:firstLine="420"/>
      </w:pPr>
      <w:r>
        <w:t>用户可以点击桌面上的新点检测工具图标来启动检测工具。</w:t>
      </w:r>
    </w:p>
    <w:p>
      <w:pPr>
        <w:pStyle w:val="5"/>
        <w:ind w:left="930" w:hanging="1072"/>
      </w:pPr>
      <w:bookmarkStart w:id="41" w:name="_Toc17294"/>
      <w:bookmarkStart w:id="42" w:name="_Toc346701617"/>
      <w:bookmarkStart w:id="43" w:name="_Toc53407223"/>
      <w:bookmarkStart w:id="44" w:name="_Toc475978922"/>
      <w:bookmarkStart w:id="45" w:name="_Toc17277"/>
      <w:bookmarkStart w:id="46" w:name="_Toc346183635"/>
      <w:bookmarkStart w:id="47" w:name="_Toc8310"/>
      <w:r>
        <w:t>系统检测</w:t>
      </w:r>
      <w:bookmarkEnd w:id="41"/>
      <w:bookmarkEnd w:id="42"/>
      <w:bookmarkEnd w:id="43"/>
      <w:bookmarkEnd w:id="44"/>
      <w:bookmarkEnd w:id="45"/>
      <w:bookmarkEnd w:id="46"/>
      <w:bookmarkEnd w:id="47"/>
    </w:p>
    <w:p>
      <w:pPr>
        <w:pStyle w:val="16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1135" cy="3303905"/>
            <wp:effectExtent l="0" t="0" r="12065" b="1079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该页面主要是进行可信任站点的设置。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如果没有设置成功，请点击设置按钮即可。</w:t>
      </w:r>
    </w:p>
    <w:p>
      <w:pPr>
        <w:pStyle w:val="5"/>
        <w:ind w:left="930" w:hanging="1072"/>
      </w:pPr>
      <w:bookmarkStart w:id="48" w:name="_Toc346701618"/>
      <w:bookmarkStart w:id="49" w:name="_Toc226"/>
      <w:bookmarkStart w:id="50" w:name="_Toc53407224"/>
      <w:bookmarkStart w:id="51" w:name="_Toc475978923"/>
      <w:bookmarkStart w:id="52" w:name="_Toc22012"/>
      <w:bookmarkStart w:id="53" w:name="_Toc346183636"/>
      <w:bookmarkStart w:id="54" w:name="_Toc24898"/>
      <w:r>
        <w:t>控件检测</w:t>
      </w:r>
      <w:bookmarkEnd w:id="48"/>
      <w:bookmarkEnd w:id="49"/>
      <w:bookmarkEnd w:id="50"/>
      <w:bookmarkEnd w:id="51"/>
      <w:bookmarkEnd w:id="52"/>
      <w:bookmarkEnd w:id="53"/>
      <w:bookmarkEnd w:id="54"/>
    </w:p>
    <w:p>
      <w:pPr>
        <w:ind w:firstLine="0" w:firstLineChars="0"/>
        <w:jc w:val="both"/>
      </w:pPr>
      <w:r>
        <w:drawing>
          <wp:inline distT="0" distB="0" distL="114300" distR="114300">
            <wp:extent cx="5274945" cy="3322955"/>
            <wp:effectExtent l="0" t="0" r="8255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如果以上都是打勾，系统所需要控件都安装完毕了。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其中证书Key驱动，需要把您的证书Key插好以后才可以检测出来。</w:t>
      </w:r>
    </w:p>
    <w:p>
      <w:pPr>
        <w:pStyle w:val="5"/>
        <w:ind w:left="930" w:hanging="1072"/>
      </w:pPr>
      <w:bookmarkStart w:id="55" w:name="_Toc346701619"/>
      <w:bookmarkStart w:id="56" w:name="_Toc20940"/>
      <w:bookmarkStart w:id="57" w:name="_Toc346183637"/>
      <w:bookmarkStart w:id="58" w:name="_Toc53407225"/>
      <w:bookmarkStart w:id="59" w:name="_Toc475978924"/>
      <w:bookmarkStart w:id="60" w:name="_Toc18929"/>
      <w:bookmarkStart w:id="61" w:name="_Toc19813"/>
      <w:r>
        <w:t>证书检测</w:t>
      </w:r>
      <w:bookmarkEnd w:id="55"/>
      <w:bookmarkEnd w:id="56"/>
      <w:bookmarkEnd w:id="57"/>
      <w:bookmarkEnd w:id="58"/>
      <w:bookmarkEnd w:id="59"/>
      <w:bookmarkEnd w:id="60"/>
      <w:bookmarkEnd w:id="61"/>
    </w:p>
    <w:p>
      <w:pPr>
        <w:pStyle w:val="16"/>
        <w:ind w:firstLine="0" w:firstLineChars="0"/>
        <w:jc w:val="center"/>
        <w:rPr>
          <w:b/>
          <w:spacing w:val="4"/>
          <w:sz w:val="21"/>
        </w:rPr>
      </w:pPr>
      <w:r>
        <w:drawing>
          <wp:inline distT="0" distB="0" distL="114300" distR="114300">
            <wp:extent cx="5277485" cy="3283585"/>
            <wp:effectExtent l="0" t="0" r="5715" b="57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如果“证书检测结果”中显示证书状态正常，则表示您的证书Key是可以正常使用的。</w:t>
      </w:r>
      <w:r>
        <w:rPr>
          <w:rFonts w:ascii="宋体" w:hAnsi="宋体" w:cs="宋体"/>
        </w:rPr>
        <w:t xml:space="preserve"> </w:t>
      </w:r>
    </w:p>
    <w:p>
      <w:pPr>
        <w:pStyle w:val="5"/>
        <w:ind w:left="930" w:hanging="1072"/>
      </w:pPr>
      <w:bookmarkStart w:id="62" w:name="_Toc346183638"/>
      <w:bookmarkStart w:id="63" w:name="_Toc346701620"/>
      <w:bookmarkStart w:id="64" w:name="_Toc475978925"/>
      <w:bookmarkStart w:id="65" w:name="_Toc5736"/>
      <w:bookmarkStart w:id="66" w:name="_Toc53407226"/>
      <w:bookmarkStart w:id="67" w:name="_Toc16212"/>
      <w:r>
        <w:t>签章检测</w:t>
      </w:r>
      <w:bookmarkEnd w:id="62"/>
      <w:bookmarkEnd w:id="63"/>
      <w:bookmarkEnd w:id="64"/>
      <w:bookmarkEnd w:id="65"/>
      <w:bookmarkEnd w:id="66"/>
      <w:bookmarkEnd w:id="67"/>
    </w:p>
    <w:p>
      <w:pPr>
        <w:ind w:firstLine="420"/>
        <w:jc w:val="center"/>
      </w:pPr>
      <w:r>
        <w:drawing>
          <wp:inline distT="0" distB="0" distL="114300" distR="114300">
            <wp:extent cx="5270500" cy="3094355"/>
            <wp:effectExtent l="0" t="0" r="0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此页面是用于测试证书Key是否可以正常签章，请点击</w:t>
      </w:r>
      <w:r>
        <w:drawing>
          <wp:inline distT="0" distB="0" distL="114300" distR="114300">
            <wp:extent cx="190500" cy="158750"/>
            <wp:effectExtent l="0" t="0" r="0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，在出现的窗口中，选择签章的名称和签章的模式，并输入您的证书Key的密码，点击确定按钮。</w:t>
      </w:r>
    </w:p>
    <w:p>
      <w:pPr>
        <w:pStyle w:val="16"/>
        <w:ind w:firstLine="135" w:firstLineChars="62"/>
        <w:jc w:val="center"/>
        <w:rPr>
          <w:spacing w:val="4"/>
          <w:sz w:val="21"/>
        </w:rPr>
      </w:pP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如果能成功加盖印章，则证明您的证书Key没有问题。</w:t>
      </w:r>
    </w:p>
    <w:p>
      <w:pPr>
        <w:pStyle w:val="16"/>
        <w:ind w:firstLine="148" w:firstLineChars="62"/>
        <w:jc w:val="center"/>
        <w:rPr>
          <w:spacing w:val="4"/>
          <w:sz w:val="21"/>
        </w:rPr>
      </w:pPr>
      <w:r>
        <w:drawing>
          <wp:inline distT="0" distB="0" distL="114300" distR="114300">
            <wp:extent cx="5276850" cy="3041650"/>
            <wp:effectExtent l="0" t="0" r="6350" b="63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 w:ascii="宋体" w:hAnsi="宋体" w:cs="宋体"/>
        </w:rPr>
        <w:t>如果出现其他的提示，请及时和该项目CA联系。</w:t>
      </w:r>
    </w:p>
    <w:p>
      <w:pPr>
        <w:pStyle w:val="4"/>
        <w:ind w:left="-142"/>
      </w:pPr>
      <w:bookmarkStart w:id="68" w:name="_Toc53407227"/>
      <w:bookmarkStart w:id="69" w:name="_Toc475978926"/>
      <w:bookmarkStart w:id="70" w:name="_Toc346701621"/>
      <w:bookmarkStart w:id="71" w:name="_Toc346183639"/>
      <w:bookmarkStart w:id="72" w:name="_Toc7244"/>
      <w:bookmarkStart w:id="73" w:name="_Toc16557"/>
      <w:r>
        <w:t>浏览器配置</w:t>
      </w:r>
      <w:bookmarkEnd w:id="68"/>
      <w:bookmarkEnd w:id="69"/>
      <w:bookmarkEnd w:id="70"/>
      <w:bookmarkEnd w:id="71"/>
      <w:bookmarkEnd w:id="72"/>
      <w:bookmarkEnd w:id="73"/>
    </w:p>
    <w:p>
      <w:pPr>
        <w:pStyle w:val="5"/>
        <w:ind w:left="930" w:hanging="1072"/>
      </w:pPr>
      <w:bookmarkStart w:id="74" w:name="_Toc346701622"/>
      <w:bookmarkStart w:id="75" w:name="_Toc53407228"/>
      <w:bookmarkStart w:id="76" w:name="_Toc30085"/>
      <w:bookmarkStart w:id="77" w:name="_Toc475978927"/>
      <w:bookmarkStart w:id="78" w:name="_Toc346183640"/>
      <w:bookmarkStart w:id="79" w:name="_Toc2210"/>
      <w:r>
        <w:t>Internet选项</w:t>
      </w:r>
      <w:bookmarkEnd w:id="74"/>
      <w:bookmarkEnd w:id="75"/>
      <w:bookmarkEnd w:id="76"/>
      <w:bookmarkEnd w:id="77"/>
      <w:bookmarkEnd w:id="78"/>
      <w:bookmarkEnd w:id="79"/>
    </w:p>
    <w:p>
      <w:pPr>
        <w:ind w:firstLine="420"/>
      </w:pPr>
      <w:r>
        <w:t>为了让系统插件能够正常工作，请按照以下步骤进行浏览器的配置。</w:t>
      </w:r>
    </w:p>
    <w:p>
      <w:pPr>
        <w:ind w:firstLine="420"/>
      </w:pPr>
      <w:r>
        <w:t>1、打开浏览器，在“工具”菜单→“Internet选项”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2、弹出对话框之后，请选择“安全”选项卡，具体的界面如下图：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3、点击绿色的“受信任的站点”的图片，会看到如下图所示的界面：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317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4、点击“站点” 按钮，出现如下对话框：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3175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输入系统服务器的IP地址，格式例如：192.168.0.123，然后点击“添加”按钮完成添加，再按“关闭”按钮退出。</w:t>
      </w:r>
    </w:p>
    <w:p>
      <w:pPr>
        <w:ind w:firstLine="420"/>
      </w:pPr>
      <w:r>
        <w:t>5、设置自定义安全级别，开放Activex的访问权限：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会出现一个窗口，把其中的Activex控件和插件的设置全部改为启用。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5926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3OxDXWAAAACwEAAA8AAAAAAAAAAQAgAAAAIgAAAGRycy9kb3ducmV2LnhtbFBL&#10;AQIUABQAAAAIAIdO4kDV/EzeagIAAAcFAAAOAAAAAAAAAAEAIAAAACUBAABkcnMvZTJvRG9jLnht&#10;bFBLBQYAAAAABgAGAFkBAAAB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文件下载设置，开放文件下载的权限：设置为启用。</w:t>
      </w:r>
    </w:p>
    <w:p>
      <w:pPr>
        <w:ind w:firstLine="420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5"/>
        <w:ind w:left="930" w:hanging="1072"/>
      </w:pPr>
      <w:bookmarkStart w:id="80" w:name="_Toc346701623"/>
      <w:bookmarkStart w:id="81" w:name="_Toc21777"/>
      <w:bookmarkStart w:id="82" w:name="_Toc53407229"/>
      <w:bookmarkStart w:id="83" w:name="_Toc475978928"/>
      <w:bookmarkStart w:id="84" w:name="_Toc346183641"/>
      <w:bookmarkStart w:id="85" w:name="_Toc6262"/>
      <w:r>
        <w:t>关闭拦截工具</w:t>
      </w:r>
      <w:bookmarkEnd w:id="80"/>
      <w:bookmarkEnd w:id="81"/>
      <w:bookmarkEnd w:id="82"/>
      <w:bookmarkEnd w:id="83"/>
      <w:bookmarkEnd w:id="84"/>
      <w:bookmarkEnd w:id="85"/>
    </w:p>
    <w:p>
      <w:pPr>
        <w:ind w:firstLine="42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16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86" w:name="_Toc3795"/>
      <w:r>
        <w:rPr>
          <w:rFonts w:hint="eastAsia"/>
        </w:rPr>
        <w:t>二、</w:t>
      </w:r>
      <w:bookmarkEnd w:id="10"/>
      <w:bookmarkEnd w:id="11"/>
      <w:r>
        <w:rPr>
          <w:rFonts w:hint="eastAsia"/>
        </w:rPr>
        <w:t>招标流程介绍</w:t>
      </w:r>
      <w:bookmarkEnd w:id="12"/>
      <w:bookmarkEnd w:id="86"/>
      <w:bookmarkStart w:id="87" w:name="_Toc29988538"/>
    </w:p>
    <w:p>
      <w:pPr>
        <w:pStyle w:val="19"/>
        <w:keepNext/>
        <w:keepLines/>
        <w:numPr>
          <w:ilvl w:val="0"/>
          <w:numId w:val="1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  <w:bookmarkStart w:id="88" w:name="_Toc40127975"/>
      <w:bookmarkEnd w:id="88"/>
      <w:bookmarkStart w:id="89" w:name="_Toc40137113"/>
      <w:bookmarkEnd w:id="89"/>
      <w:bookmarkStart w:id="90" w:name="_Toc40126423"/>
      <w:bookmarkEnd w:id="90"/>
      <w:bookmarkStart w:id="91" w:name="_Toc53407272"/>
      <w:bookmarkEnd w:id="91"/>
      <w:bookmarkStart w:id="92" w:name="_Toc53407174"/>
      <w:bookmarkEnd w:id="92"/>
      <w:bookmarkStart w:id="93" w:name="_Toc53237814"/>
      <w:bookmarkEnd w:id="93"/>
    </w:p>
    <w:p>
      <w:pPr>
        <w:pStyle w:val="4"/>
      </w:pPr>
      <w:bookmarkStart w:id="94" w:name="_Toc25441"/>
      <w:r>
        <w:rPr>
          <w:rFonts w:hint="eastAsia"/>
        </w:rPr>
        <w:t>项目注册</w:t>
      </w:r>
      <w:bookmarkEnd w:id="87"/>
      <w:bookmarkEnd w:id="94"/>
    </w:p>
    <w:p>
      <w:pPr>
        <w:pStyle w:val="5"/>
      </w:pPr>
      <w:bookmarkStart w:id="95" w:name="_Toc821"/>
      <w:r>
        <w:rPr>
          <w:rFonts w:hint="eastAsia"/>
        </w:rPr>
        <w:t>前置条件</w:t>
      </w:r>
      <w:bookmarkEnd w:id="95"/>
    </w:p>
    <w:p>
      <w:pPr>
        <w:ind w:firstLine="420"/>
      </w:pPr>
      <w:r>
        <w:rPr>
          <w:rFonts w:hint="eastAsia"/>
        </w:rPr>
        <w:t>无</w:t>
      </w:r>
    </w:p>
    <w:p>
      <w:pPr>
        <w:pStyle w:val="5"/>
      </w:pPr>
      <w:bookmarkStart w:id="96" w:name="_Toc15857"/>
      <w:r>
        <w:rPr>
          <w:rFonts w:hint="eastAsia"/>
        </w:rPr>
        <w:t>基本功能</w:t>
      </w:r>
      <w:bookmarkEnd w:id="96"/>
    </w:p>
    <w:p>
      <w:pPr>
        <w:ind w:firstLine="420" w:firstLineChars="0"/>
      </w:pPr>
      <w:r>
        <w:rPr>
          <w:rFonts w:hint="eastAsia"/>
        </w:rPr>
        <w:t>新增项目，填写项目基本信息。</w:t>
      </w:r>
      <w:r>
        <w:t xml:space="preserve"> </w:t>
      </w:r>
    </w:p>
    <w:p>
      <w:pPr>
        <w:pStyle w:val="5"/>
      </w:pPr>
      <w:bookmarkStart w:id="97" w:name="_Toc9985"/>
      <w:r>
        <w:rPr>
          <w:rFonts w:hint="eastAsia"/>
        </w:rPr>
        <w:t>操作步骤</w:t>
      </w:r>
      <w:bookmarkEnd w:id="97"/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点击“项目注册</w:t>
      </w:r>
      <w:r>
        <w:t>—</w:t>
      </w:r>
      <w:r>
        <w:rPr>
          <w:rFonts w:hint="eastAsia"/>
        </w:rPr>
        <w:t>新建项目”按钮，进入项目注册页面，填写项目基本信息并且提交审核。</w:t>
      </w:r>
      <w:r>
        <w:drawing>
          <wp:inline distT="0" distB="0" distL="114300" distR="114300">
            <wp:extent cx="5266690" cy="2406015"/>
            <wp:effectExtent l="0" t="0" r="3810" b="6985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40"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8" w:name="_Toc499281200"/>
      <w:bookmarkEnd w:id="98"/>
      <w:bookmarkStart w:id="99" w:name="_Toc29988539"/>
      <w:bookmarkStart w:id="100" w:name="_Toc499281206"/>
      <w:bookmarkStart w:id="101" w:name="_Toc10292"/>
      <w:r>
        <w:rPr>
          <w:rFonts w:hint="eastAsia"/>
        </w:rPr>
        <w:t>招标项目</w:t>
      </w:r>
      <w:bookmarkEnd w:id="99"/>
      <w:bookmarkEnd w:id="100"/>
      <w:bookmarkEnd w:id="101"/>
    </w:p>
    <w:p>
      <w:pPr>
        <w:pStyle w:val="5"/>
      </w:pPr>
      <w:bookmarkStart w:id="102" w:name="_Toc5859"/>
      <w:r>
        <w:rPr>
          <w:rFonts w:hint="eastAsia"/>
        </w:rPr>
        <w:t>前提条件</w:t>
      </w:r>
      <w:bookmarkEnd w:id="102"/>
    </w:p>
    <w:p>
      <w:pPr>
        <w:ind w:firstLine="420" w:firstLineChars="0"/>
      </w:pPr>
      <w:r>
        <w:rPr>
          <w:rFonts w:hint="eastAsia"/>
        </w:rPr>
        <w:t>新增项目并且审核通过。</w:t>
      </w:r>
    </w:p>
    <w:p>
      <w:pPr>
        <w:pStyle w:val="5"/>
      </w:pPr>
      <w:bookmarkStart w:id="103" w:name="_Toc15795"/>
      <w:r>
        <w:rPr>
          <w:rFonts w:hint="eastAsia"/>
        </w:rPr>
        <w:t>基本功能</w:t>
      </w:r>
      <w:bookmarkEnd w:id="103"/>
    </w:p>
    <w:p>
      <w:pPr>
        <w:ind w:firstLine="420" w:firstLineChars="0"/>
      </w:pPr>
      <w:r>
        <w:rPr>
          <w:rFonts w:hint="eastAsia"/>
        </w:rPr>
        <w:t>新增招标项目，并添加标段（包）信息，可添加多个标段（包）。</w:t>
      </w:r>
    </w:p>
    <w:p>
      <w:pPr>
        <w:pStyle w:val="5"/>
      </w:pPr>
      <w:bookmarkStart w:id="104" w:name="_Toc21407"/>
      <w:r>
        <w:rPr>
          <w:rFonts w:hint="eastAsia"/>
        </w:rPr>
        <w:t>操作步骤</w:t>
      </w:r>
      <w:bookmarkEnd w:id="104"/>
    </w:p>
    <w:p>
      <w:pPr>
        <w:ind w:firstLine="420" w:firstLineChars="0"/>
      </w:pPr>
      <w:r>
        <w:rPr>
          <w:rFonts w:hint="eastAsia"/>
        </w:rPr>
        <w:t>1、点击“招标项目-新建招标项目” 进入招标项目列表页面，挑选对应项目，填写招标项目基本信息。如下图：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2405" cy="2329815"/>
            <wp:effectExtent l="0" t="0" r="10795" b="6985"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7485" cy="2381250"/>
            <wp:effectExtent l="0" t="0" r="5715" b="6350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填写完招标项目基本信息后点击“新增标段”按钮，进入新增标段（包）页面。如下图：</w:t>
      </w:r>
    </w:p>
    <w:p>
      <w:pPr>
        <w:ind w:firstLine="0" w:firstLineChars="0"/>
        <w:rPr>
          <w:color w:val="FF0000"/>
        </w:rPr>
      </w:pPr>
      <w:r>
        <w:drawing>
          <wp:inline distT="0" distB="0" distL="114300" distR="114300">
            <wp:extent cx="5274945" cy="2152650"/>
            <wp:effectExtent l="0" t="0" r="8255" b="6350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若该招标项目存在多个标段，可在新增标段页面点击“复制”按钮，选择已有标段并确认，可复制相同的数据，节约填写资料时间。填写完成后提交审核。如下图：</w:t>
      </w:r>
    </w:p>
    <w:p>
      <w:pPr>
        <w:ind w:firstLine="0" w:firstLineChars="0"/>
      </w:pPr>
      <w:r>
        <w:drawing>
          <wp:inline distT="0" distB="0" distL="114300" distR="114300">
            <wp:extent cx="5275580" cy="2315845"/>
            <wp:effectExtent l="0" t="0" r="7620" b="8255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4、招标项目以及标段包填写完成后，点击“提交审核”按钮，等待内控处指定经办人。</w:t>
      </w:r>
    </w:p>
    <w:p>
      <w:pPr>
        <w:pStyle w:val="4"/>
      </w:pPr>
      <w:bookmarkStart w:id="105" w:name="_Toc29988540"/>
      <w:bookmarkStart w:id="106" w:name="_Toc2550"/>
      <w:r>
        <w:rPr>
          <w:rFonts w:hint="eastAsia"/>
        </w:rPr>
        <w:t>场地预约</w:t>
      </w:r>
      <w:bookmarkEnd w:id="105"/>
      <w:bookmarkEnd w:id="106"/>
    </w:p>
    <w:p>
      <w:pPr>
        <w:pStyle w:val="5"/>
      </w:pPr>
      <w:bookmarkStart w:id="107" w:name="_Toc30989"/>
      <w:r>
        <w:rPr>
          <w:rFonts w:hint="eastAsia"/>
        </w:rPr>
        <w:t>前提条件</w:t>
      </w:r>
      <w:bookmarkEnd w:id="107"/>
    </w:p>
    <w:p>
      <w:pPr>
        <w:ind w:firstLine="420"/>
      </w:pPr>
      <w:r>
        <w:rPr>
          <w:rFonts w:hint="eastAsia"/>
        </w:rPr>
        <w:t>招标项目审核通过。</w:t>
      </w:r>
    </w:p>
    <w:p>
      <w:pPr>
        <w:pStyle w:val="5"/>
      </w:pPr>
      <w:bookmarkStart w:id="108" w:name="_Toc17955"/>
      <w:r>
        <w:rPr>
          <w:rFonts w:hint="eastAsia"/>
        </w:rPr>
        <w:t>基本功能</w:t>
      </w:r>
      <w:bookmarkEnd w:id="108"/>
    </w:p>
    <w:p>
      <w:pPr>
        <w:ind w:firstLine="420"/>
      </w:pPr>
      <w:r>
        <w:rPr>
          <w:rFonts w:hint="eastAsia"/>
        </w:rPr>
        <w:t>开评标场地预约。</w:t>
      </w:r>
    </w:p>
    <w:p>
      <w:pPr>
        <w:pStyle w:val="5"/>
      </w:pPr>
      <w:bookmarkStart w:id="109" w:name="_Toc24001"/>
      <w:r>
        <w:rPr>
          <w:rFonts w:hint="eastAsia"/>
        </w:rPr>
        <w:t>基本步骤</w:t>
      </w:r>
      <w:bookmarkEnd w:id="109"/>
    </w:p>
    <w:p>
      <w:pPr>
        <w:numPr>
          <w:ilvl w:val="0"/>
          <w:numId w:val="3"/>
        </w:numPr>
        <w:ind w:firstLine="420"/>
      </w:pPr>
      <w:r>
        <w:rPr>
          <w:rFonts w:hint="eastAsia"/>
        </w:rPr>
        <w:t>点击“新增开标场地”菜单，进入标段挑选列表页面，选择相应标段（同一个招标项目的标段可以多选），点击“确认选择”按钮，进入场地预约页面，如下图：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t xml:space="preserve"> </w:t>
      </w:r>
      <w:r>
        <w:rPr>
          <w:rFonts w:hint="eastAsia"/>
        </w:rPr>
        <w:t>2、填写相关信息后，提交内控处经办人审核。</w:t>
      </w:r>
    </w:p>
    <w:p>
      <w:pPr>
        <w:pStyle w:val="4"/>
      </w:pPr>
      <w:bookmarkStart w:id="110" w:name="_Toc29988541"/>
      <w:bookmarkStart w:id="111" w:name="_Toc28790"/>
      <w:r>
        <w:rPr>
          <w:rFonts w:hint="eastAsia"/>
        </w:rPr>
        <w:t>场地变更</w:t>
      </w:r>
      <w:bookmarkEnd w:id="110"/>
      <w:bookmarkEnd w:id="111"/>
    </w:p>
    <w:p>
      <w:pPr>
        <w:pStyle w:val="5"/>
      </w:pPr>
      <w:bookmarkStart w:id="112" w:name="_Toc26902"/>
      <w:r>
        <w:rPr>
          <w:rFonts w:hint="eastAsia"/>
        </w:rPr>
        <w:t>前提条件</w:t>
      </w:r>
      <w:bookmarkEnd w:id="112"/>
    </w:p>
    <w:p>
      <w:pPr>
        <w:ind w:firstLine="420"/>
      </w:pPr>
      <w:r>
        <w:rPr>
          <w:rFonts w:hint="eastAsia"/>
        </w:rPr>
        <w:t>场地预约审核通过。</w:t>
      </w:r>
    </w:p>
    <w:p>
      <w:pPr>
        <w:pStyle w:val="5"/>
      </w:pPr>
      <w:bookmarkStart w:id="113" w:name="_Toc29869"/>
      <w:r>
        <w:rPr>
          <w:rFonts w:hint="eastAsia"/>
        </w:rPr>
        <w:t>基本功能</w:t>
      </w:r>
      <w:bookmarkEnd w:id="113"/>
    </w:p>
    <w:p>
      <w:pPr>
        <w:ind w:firstLine="420"/>
      </w:pPr>
      <w:r>
        <w:rPr>
          <w:rFonts w:hint="eastAsia"/>
        </w:rPr>
        <w:t>对开评标场地进行变更。</w:t>
      </w:r>
    </w:p>
    <w:p>
      <w:pPr>
        <w:pStyle w:val="5"/>
      </w:pPr>
      <w:bookmarkStart w:id="114" w:name="_Toc6776"/>
      <w:r>
        <w:rPr>
          <w:rFonts w:hint="eastAsia"/>
        </w:rPr>
        <w:t>基本步骤</w:t>
      </w:r>
      <w:bookmarkEnd w:id="114"/>
    </w:p>
    <w:p>
      <w:pPr>
        <w:numPr>
          <w:ilvl w:val="0"/>
          <w:numId w:val="4"/>
        </w:numPr>
        <w:ind w:left="142" w:firstLine="420"/>
      </w:pPr>
      <w:r>
        <w:rPr>
          <w:rFonts w:hint="eastAsia"/>
        </w:rPr>
        <w:t>点击“新增开评标场地变更”按钮，进入标段挑选页面，挑选相应信息进行场地变更，如下图；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9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6850" cy="2431415"/>
            <wp:effectExtent l="0" t="0" r="6350" b="6985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4"/>
        </w:numPr>
        <w:ind w:firstLine="567" w:firstLineChars="0"/>
      </w:pPr>
      <w:r>
        <w:rPr>
          <w:rFonts w:hint="eastAsia"/>
        </w:rPr>
        <w:t>场地变更页面默认勾选“取消场地预约”，若需要取消场地预约直接提交审核即可，如下图：</w:t>
      </w:r>
      <w:r>
        <w:drawing>
          <wp:inline distT="0" distB="0" distL="114300" distR="114300">
            <wp:extent cx="5274310" cy="2423795"/>
            <wp:effectExtent l="0" t="0" r="8890" b="1905"/>
            <wp:docPr id="9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3、若不需要取消场地预约，请勾选“变更场地预约”填写变更原因、场地信息提交审核，如下图：</w:t>
      </w:r>
    </w:p>
    <w:p>
      <w:pPr>
        <w:ind w:firstLine="420"/>
      </w:pPr>
      <w:r>
        <w:drawing>
          <wp:inline distT="0" distB="0" distL="114300" distR="114300">
            <wp:extent cx="5275580" cy="2134235"/>
            <wp:effectExtent l="0" t="0" r="7620" b="12065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5" w:name="_Toc29988542"/>
      <w:bookmarkStart w:id="116" w:name="_Toc5272"/>
      <w:r>
        <w:rPr>
          <w:rFonts w:hint="eastAsia"/>
        </w:rPr>
        <w:t>评标复议场地预约</w:t>
      </w:r>
      <w:bookmarkEnd w:id="115"/>
      <w:bookmarkEnd w:id="116"/>
    </w:p>
    <w:p>
      <w:pPr>
        <w:pStyle w:val="5"/>
      </w:pPr>
      <w:bookmarkStart w:id="117" w:name="_Toc21538"/>
      <w:r>
        <w:rPr>
          <w:rFonts w:hint="eastAsia"/>
        </w:rPr>
        <w:t>前提条件</w:t>
      </w:r>
      <w:bookmarkEnd w:id="117"/>
    </w:p>
    <w:p>
      <w:pPr>
        <w:ind w:firstLine="420"/>
      </w:pPr>
      <w:r>
        <w:rPr>
          <w:rFonts w:hint="eastAsia"/>
        </w:rPr>
        <w:t>评标结束。</w:t>
      </w:r>
    </w:p>
    <w:p>
      <w:pPr>
        <w:pStyle w:val="5"/>
      </w:pPr>
      <w:bookmarkStart w:id="118" w:name="_Toc31346"/>
      <w:r>
        <w:rPr>
          <w:rFonts w:hint="eastAsia"/>
        </w:rPr>
        <w:t>基本功能</w:t>
      </w:r>
      <w:bookmarkEnd w:id="118"/>
    </w:p>
    <w:p>
      <w:pPr>
        <w:ind w:firstLine="420"/>
      </w:pPr>
      <w:r>
        <w:rPr>
          <w:rFonts w:hint="eastAsia"/>
        </w:rPr>
        <w:t>预约评标复议场地。</w:t>
      </w:r>
    </w:p>
    <w:p>
      <w:pPr>
        <w:pStyle w:val="5"/>
      </w:pPr>
      <w:bookmarkStart w:id="119" w:name="_Toc19629"/>
      <w:r>
        <w:rPr>
          <w:rFonts w:hint="eastAsia"/>
        </w:rPr>
        <w:t>基本步骤：</w:t>
      </w:r>
      <w:bookmarkEnd w:id="119"/>
    </w:p>
    <w:p>
      <w:pPr>
        <w:pStyle w:val="19"/>
        <w:numPr>
          <w:ilvl w:val="0"/>
          <w:numId w:val="5"/>
        </w:numPr>
        <w:ind w:firstLineChars="0"/>
      </w:pPr>
      <w:r>
        <w:rPr>
          <w:rFonts w:hint="eastAsia"/>
        </w:rPr>
        <w:t>点击“新增场地预约”菜单，进入标段挑选列表页面，选择相应标段，点击“确认选择”按钮，进入复议场地预约页面，如下图：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9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</w:p>
    <w:p>
      <w:pPr>
        <w:pStyle w:val="19"/>
        <w:numPr>
          <w:ilvl w:val="0"/>
          <w:numId w:val="5"/>
        </w:numPr>
        <w:ind w:firstLineChars="0"/>
      </w:pPr>
      <w:r>
        <w:rPr>
          <w:rFonts w:hint="eastAsia"/>
        </w:rPr>
        <w:t>填写相关信息后，提交内控处审核。</w:t>
      </w:r>
    </w:p>
    <w:p>
      <w:pPr>
        <w:pStyle w:val="4"/>
      </w:pPr>
      <w:bookmarkStart w:id="120" w:name="_Toc29988547"/>
      <w:bookmarkStart w:id="121" w:name="_Toc27304"/>
      <w:bookmarkStart w:id="122" w:name="_Toc29988543"/>
      <w:r>
        <w:rPr>
          <w:rFonts w:hint="eastAsia"/>
        </w:rPr>
        <w:t>组建监督员</w:t>
      </w:r>
      <w:bookmarkEnd w:id="120"/>
      <w:bookmarkEnd w:id="121"/>
    </w:p>
    <w:p>
      <w:pPr>
        <w:pStyle w:val="5"/>
      </w:pPr>
      <w:bookmarkStart w:id="123" w:name="_Toc26141"/>
      <w:r>
        <w:rPr>
          <w:rFonts w:hint="eastAsia"/>
        </w:rPr>
        <w:t>前提条件</w:t>
      </w:r>
      <w:bookmarkEnd w:id="123"/>
    </w:p>
    <w:p>
      <w:pPr>
        <w:ind w:firstLine="420"/>
      </w:pPr>
      <w:r>
        <w:rPr>
          <w:rFonts w:hint="eastAsia"/>
        </w:rPr>
        <w:t>场地预约审核通过。</w:t>
      </w:r>
    </w:p>
    <w:p>
      <w:pPr>
        <w:pStyle w:val="5"/>
      </w:pPr>
      <w:bookmarkStart w:id="124" w:name="_Toc31037"/>
      <w:r>
        <w:rPr>
          <w:rFonts w:hint="eastAsia"/>
        </w:rPr>
        <w:t>基本功能</w:t>
      </w:r>
      <w:bookmarkEnd w:id="124"/>
    </w:p>
    <w:p>
      <w:pPr>
        <w:ind w:firstLine="420"/>
      </w:pPr>
      <w:r>
        <w:rPr>
          <w:rFonts w:hint="eastAsia"/>
        </w:rPr>
        <w:t>抽取监督员</w:t>
      </w:r>
    </w:p>
    <w:p>
      <w:pPr>
        <w:pStyle w:val="5"/>
      </w:pPr>
      <w:bookmarkStart w:id="125" w:name="_Toc24144"/>
      <w:r>
        <w:rPr>
          <w:rFonts w:hint="eastAsia"/>
        </w:rPr>
        <w:t>基本步骤</w:t>
      </w:r>
      <w:bookmarkEnd w:id="125"/>
    </w:p>
    <w:p>
      <w:pPr>
        <w:pStyle w:val="19"/>
        <w:numPr>
          <w:ilvl w:val="0"/>
          <w:numId w:val="6"/>
        </w:numPr>
        <w:ind w:firstLineChars="0"/>
      </w:pPr>
      <w:r>
        <w:rPr>
          <w:rFonts w:hint="eastAsia"/>
        </w:rPr>
        <w:t>点击“新增项目”进入项目选择页面，挑选相关项目信息后进入监督员抽取相关设置页面，如下图：</w:t>
      </w:r>
    </w:p>
    <w:p>
      <w:pPr>
        <w:pStyle w:val="19"/>
        <w:ind w:left="442"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9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b/>
        </w:rPr>
      </w:pPr>
    </w:p>
    <w:p>
      <w:pPr>
        <w:pStyle w:val="19"/>
        <w:numPr>
          <w:ilvl w:val="0"/>
          <w:numId w:val="6"/>
        </w:numPr>
        <w:ind w:firstLineChars="0"/>
      </w:pPr>
      <w:r>
        <w:rPr>
          <w:rFonts w:hint="eastAsia"/>
        </w:rPr>
        <w:t>填写监督员基本要求，提交审核。</w:t>
      </w:r>
      <w:r>
        <w:drawing>
          <wp:inline distT="0" distB="0" distL="114300" distR="114300">
            <wp:extent cx="5272405" cy="2665730"/>
            <wp:effectExtent l="0" t="0" r="10795" b="127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42" w:firstLine="0" w:firstLineChars="0"/>
        <w:rPr>
          <w:rFonts w:ascii="微软雅黑" w:hAnsi="微软雅黑" w:eastAsia="微软雅黑" w:cs="Tahoma"/>
          <w:color w:val="FF0000"/>
          <w:sz w:val="20"/>
          <w:szCs w:val="20"/>
        </w:rPr>
      </w:pPr>
      <w:r>
        <w:rPr>
          <w:rStyle w:val="13"/>
          <w:rFonts w:hint="eastAsia" w:ascii="微软雅黑" w:hAnsi="微软雅黑" w:eastAsia="微软雅黑" w:cs="Tahoma"/>
          <w:color w:val="FF0000"/>
          <w:sz w:val="20"/>
          <w:szCs w:val="20"/>
        </w:rPr>
        <w:t>注意</w:t>
      </w:r>
      <w:r>
        <w:rPr>
          <w:rFonts w:hint="eastAsia" w:ascii="微软雅黑" w:hAnsi="微软雅黑" w:eastAsia="微软雅黑" w:cs="Tahoma"/>
          <w:color w:val="FF0000"/>
          <w:sz w:val="20"/>
          <w:szCs w:val="20"/>
        </w:rPr>
        <w:t>：1、没有组建评标委员会，不能发布招标公告；组建评标委员会可以在开标前进行修改信息,若进行了场地变更，需要重新组建评标委员会。</w:t>
      </w:r>
    </w:p>
    <w:p>
      <w:pPr>
        <w:ind w:left="442" w:firstLine="550" w:firstLineChars="275"/>
      </w:pPr>
      <w:r>
        <w:rPr>
          <w:rFonts w:hint="eastAsia" w:ascii="微软雅黑" w:hAnsi="微软雅黑" w:eastAsia="微软雅黑" w:cs="Tahoma"/>
          <w:color w:val="FF0000"/>
          <w:sz w:val="20"/>
          <w:szCs w:val="20"/>
        </w:rPr>
        <w:t>2、请于开标前打印专家抽取申请表。</w:t>
      </w:r>
    </w:p>
    <w:p>
      <w:pPr>
        <w:pStyle w:val="4"/>
      </w:pPr>
      <w:bookmarkStart w:id="126" w:name="_Toc1774"/>
      <w:r>
        <w:rPr>
          <w:rFonts w:hint="eastAsia"/>
        </w:rPr>
        <w:t>招标公告</w:t>
      </w:r>
      <w:bookmarkEnd w:id="122"/>
      <w:bookmarkEnd w:id="126"/>
    </w:p>
    <w:p>
      <w:pPr>
        <w:pStyle w:val="5"/>
      </w:pPr>
      <w:bookmarkStart w:id="127" w:name="_Toc11264"/>
      <w:r>
        <w:rPr>
          <w:rFonts w:hint="eastAsia"/>
        </w:rPr>
        <w:t>前提条件</w:t>
      </w:r>
      <w:bookmarkEnd w:id="127"/>
    </w:p>
    <w:p>
      <w:pPr>
        <w:ind w:firstLine="420"/>
      </w:pPr>
      <w:r>
        <w:rPr>
          <w:rFonts w:hint="eastAsia"/>
        </w:rPr>
        <w:t>已组建评标委员会。</w:t>
      </w:r>
    </w:p>
    <w:p>
      <w:pPr>
        <w:pStyle w:val="5"/>
      </w:pPr>
      <w:bookmarkStart w:id="128" w:name="_Toc11449"/>
      <w:r>
        <w:rPr>
          <w:rFonts w:hint="eastAsia"/>
        </w:rPr>
        <w:t>基本功能</w:t>
      </w:r>
      <w:bookmarkEnd w:id="128"/>
    </w:p>
    <w:p>
      <w:pPr>
        <w:ind w:firstLine="420"/>
      </w:pPr>
      <w:r>
        <w:rPr>
          <w:rFonts w:hint="eastAsia"/>
        </w:rPr>
        <w:t>发布招标公告。</w:t>
      </w:r>
    </w:p>
    <w:p>
      <w:pPr>
        <w:pStyle w:val="5"/>
      </w:pPr>
      <w:bookmarkStart w:id="129" w:name="_Toc13491"/>
      <w:r>
        <w:rPr>
          <w:rFonts w:hint="eastAsia"/>
        </w:rPr>
        <w:t>基本步骤</w:t>
      </w:r>
      <w:bookmarkEnd w:id="129"/>
    </w:p>
    <w:p>
      <w:pPr>
        <w:pStyle w:val="19"/>
        <w:numPr>
          <w:ilvl w:val="0"/>
          <w:numId w:val="7"/>
        </w:numPr>
        <w:ind w:firstLineChars="0"/>
      </w:pPr>
      <w:r>
        <w:rPr>
          <w:rFonts w:hint="eastAsia"/>
        </w:rPr>
        <w:t>点击“新增招标公告”，进入标段（包）挑选列表，挑选相关标段（包），进入招标公告编辑页面。</w:t>
      </w:r>
    </w:p>
    <w:p>
      <w:pPr>
        <w:ind w:left="60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00" w:firstLineChars="0"/>
      </w:pPr>
      <w:r>
        <w:drawing>
          <wp:inline distT="0" distB="0" distL="114300" distR="114300">
            <wp:extent cx="5276850" cy="2548890"/>
            <wp:effectExtent l="0" t="0" r="6350" b="3810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800" w:firstLine="0" w:firstLineChars="0"/>
      </w:pPr>
      <w:r>
        <w:drawing>
          <wp:inline distT="0" distB="0" distL="114300" distR="114300">
            <wp:extent cx="5269230" cy="2555240"/>
            <wp:effectExtent l="0" t="0" r="127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800" w:firstLine="0" w:firstLineChars="0"/>
      </w:pPr>
      <w:r>
        <w:drawing>
          <wp:inline distT="0" distB="0" distL="114300" distR="114300">
            <wp:extent cx="5272405" cy="2522220"/>
            <wp:effectExtent l="0" t="0" r="10795" b="508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7"/>
        </w:numPr>
        <w:ind w:firstLineChars="0"/>
      </w:pPr>
      <w:r>
        <w:rPr>
          <w:rFonts w:hint="eastAsia"/>
        </w:rPr>
        <w:t>填项招标公告基本信息，编辑招标公告正文内容后提交审核。</w:t>
      </w:r>
    </w:p>
    <w:p>
      <w:pPr>
        <w:pStyle w:val="4"/>
      </w:pPr>
      <w:bookmarkStart w:id="130" w:name="_Toc29988544"/>
      <w:bookmarkStart w:id="131" w:name="_Toc12419"/>
      <w:r>
        <w:rPr>
          <w:rFonts w:hint="eastAsia"/>
        </w:rPr>
        <w:t>变更公告</w:t>
      </w:r>
      <w:bookmarkEnd w:id="130"/>
      <w:bookmarkEnd w:id="131"/>
    </w:p>
    <w:p>
      <w:pPr>
        <w:pStyle w:val="5"/>
      </w:pPr>
      <w:bookmarkStart w:id="132" w:name="_Toc11087"/>
      <w:r>
        <w:rPr>
          <w:rFonts w:hint="eastAsia"/>
        </w:rPr>
        <w:t>前提条件</w:t>
      </w:r>
      <w:bookmarkEnd w:id="132"/>
    </w:p>
    <w:p>
      <w:pPr>
        <w:ind w:firstLine="420"/>
      </w:pPr>
      <w:r>
        <w:rPr>
          <w:rFonts w:hint="eastAsia"/>
        </w:rPr>
        <w:t>招标公告审核通过。</w:t>
      </w:r>
    </w:p>
    <w:p>
      <w:pPr>
        <w:pStyle w:val="5"/>
      </w:pPr>
      <w:bookmarkStart w:id="133" w:name="_Toc13282"/>
      <w:r>
        <w:rPr>
          <w:rFonts w:hint="eastAsia"/>
        </w:rPr>
        <w:t>基本功能</w:t>
      </w:r>
      <w:bookmarkEnd w:id="133"/>
    </w:p>
    <w:p>
      <w:pPr>
        <w:ind w:firstLine="420"/>
      </w:pPr>
      <w:r>
        <w:rPr>
          <w:rFonts w:hint="eastAsia"/>
        </w:rPr>
        <w:t>发布变更公告。</w:t>
      </w:r>
    </w:p>
    <w:p>
      <w:pPr>
        <w:pStyle w:val="5"/>
      </w:pPr>
      <w:bookmarkStart w:id="134" w:name="_Toc9264"/>
      <w:r>
        <w:rPr>
          <w:rFonts w:hint="eastAsia"/>
        </w:rPr>
        <w:t>基本步骤</w:t>
      </w:r>
      <w:bookmarkEnd w:id="134"/>
    </w:p>
    <w:p>
      <w:pPr>
        <w:ind w:firstLine="420"/>
      </w:pPr>
      <w:r>
        <w:rPr>
          <w:rFonts w:hint="eastAsia"/>
        </w:rPr>
        <w:t>1、点击“变更公告”菜单，挑选相应公告，进行变更。如下图：</w:t>
      </w:r>
    </w:p>
    <w:p>
      <w:pPr>
        <w:ind w:firstLine="420"/>
      </w:pPr>
      <w:r>
        <w:drawing>
          <wp:inline distT="0" distB="0" distL="114300" distR="114300">
            <wp:extent cx="5266690" cy="2406015"/>
            <wp:effectExtent l="0" t="0" r="3810" b="6985"/>
            <wp:docPr id="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2405" cy="2540635"/>
            <wp:effectExtent l="0" t="0" r="10795" b="12065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注意：若进行场地变更则需要先“2.4、场地变更”流程，再发布变更公告。如下图：</w:t>
      </w:r>
    </w:p>
    <w:p>
      <w:pPr>
        <w:ind w:firstLine="420"/>
      </w:pPr>
      <w:r>
        <w:drawing>
          <wp:inline distT="0" distB="0" distL="114300" distR="114300">
            <wp:extent cx="5276215" cy="2078355"/>
            <wp:effectExtent l="0" t="0" r="6985" b="444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5" w:name="_Toc29988545"/>
      <w:bookmarkStart w:id="136" w:name="_Toc5731"/>
      <w:r>
        <w:rPr>
          <w:rFonts w:hint="eastAsia"/>
        </w:rPr>
        <w:t>招标文件制作</w:t>
      </w:r>
      <w:bookmarkEnd w:id="135"/>
      <w:bookmarkEnd w:id="136"/>
    </w:p>
    <w:p>
      <w:pPr>
        <w:pStyle w:val="5"/>
      </w:pPr>
      <w:bookmarkStart w:id="137" w:name="_Toc4838"/>
      <w:r>
        <w:rPr>
          <w:rFonts w:hint="eastAsia"/>
        </w:rPr>
        <w:t>前提条件</w:t>
      </w:r>
      <w:bookmarkEnd w:id="137"/>
    </w:p>
    <w:p>
      <w:pPr>
        <w:ind w:firstLine="420"/>
      </w:pPr>
      <w:r>
        <w:rPr>
          <w:rFonts w:hint="eastAsia"/>
        </w:rPr>
        <w:t>招标公告已发布。</w:t>
      </w:r>
    </w:p>
    <w:p>
      <w:pPr>
        <w:pStyle w:val="5"/>
      </w:pPr>
      <w:bookmarkStart w:id="138" w:name="_Toc3770"/>
      <w:r>
        <w:rPr>
          <w:rFonts w:hint="eastAsia"/>
        </w:rPr>
        <w:t>基本功能</w:t>
      </w:r>
      <w:bookmarkEnd w:id="138"/>
    </w:p>
    <w:p>
      <w:pPr>
        <w:ind w:firstLine="420"/>
      </w:pPr>
      <w:r>
        <w:rPr>
          <w:rFonts w:hint="eastAsia"/>
        </w:rPr>
        <w:t>制作招标文件</w:t>
      </w:r>
    </w:p>
    <w:p>
      <w:pPr>
        <w:pStyle w:val="5"/>
      </w:pPr>
      <w:bookmarkStart w:id="139" w:name="_Toc18194"/>
      <w:r>
        <w:rPr>
          <w:rFonts w:hint="eastAsia"/>
        </w:rPr>
        <w:t>基本步骤</w:t>
      </w:r>
      <w:bookmarkEnd w:id="139"/>
    </w:p>
    <w:p>
      <w:pPr>
        <w:pStyle w:val="20"/>
        <w:numPr>
          <w:ilvl w:val="0"/>
          <w:numId w:val="8"/>
        </w:numPr>
        <w:ind w:firstLineChars="0"/>
      </w:pPr>
      <w:r>
        <w:rPr>
          <w:rFonts w:hint="eastAsia"/>
        </w:rPr>
        <w:t>点击“新增招标文件”菜单，挑选相应招标项目，进入招标文件编辑页面，如下图：</w:t>
      </w:r>
    </w:p>
    <w:p>
      <w:pPr>
        <w:pStyle w:val="20"/>
        <w:ind w:firstLine="210" w:firstLineChars="100"/>
      </w:pPr>
      <w:r>
        <w:drawing>
          <wp:inline distT="0" distB="0" distL="114300" distR="114300">
            <wp:extent cx="5266690" cy="2406015"/>
            <wp:effectExtent l="0" t="0" r="3810" b="6985"/>
            <wp:docPr id="1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210" w:firstLineChars="100"/>
      </w:pPr>
    </w:p>
    <w:p>
      <w:pPr>
        <w:pStyle w:val="20"/>
        <w:ind w:firstLine="210" w:firstLineChars="100"/>
      </w:pPr>
      <w:r>
        <w:drawing>
          <wp:inline distT="0" distB="0" distL="114300" distR="114300">
            <wp:extent cx="5272405" cy="2315845"/>
            <wp:effectExtent l="0" t="0" r="10795" b="8255"/>
            <wp:docPr id="10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8"/>
        </w:numPr>
        <w:ind w:firstLineChars="0"/>
      </w:pPr>
      <w:r>
        <w:rPr>
          <w:rFonts w:hint="eastAsia"/>
        </w:rPr>
        <w:t>填写文件基本信息后，点击“制作”按钮，进入挑选模板页面，选择范本，确认后进入文件制作页面</w:t>
      </w:r>
    </w:p>
    <w:p>
      <w:pPr>
        <w:pStyle w:val="20"/>
        <w:ind w:left="284" w:firstLine="0" w:firstLineChars="0"/>
      </w:pPr>
      <w:r>
        <w:drawing>
          <wp:inline distT="0" distB="0" distL="114300" distR="114300">
            <wp:extent cx="5267960" cy="2386330"/>
            <wp:effectExtent l="0" t="0" r="2540" b="127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 w:ascii="宋体" w:hAnsi="宋体" w:cs="宋体"/>
          <w:color w:val="000000"/>
          <w:kern w:val="0"/>
          <w:szCs w:val="20"/>
        </w:rPr>
        <w:t>3、编制招标文件相关信息</w:t>
      </w:r>
      <w:r>
        <w:rPr>
          <w:rFonts w:hint="eastAsia"/>
        </w:rPr>
        <w:t>后，签章并生成文件，同时提交审核。</w:t>
      </w:r>
    </w:p>
    <w:p>
      <w:pPr>
        <w:pStyle w:val="4"/>
      </w:pPr>
      <w:bookmarkStart w:id="140" w:name="_Toc29988546"/>
      <w:bookmarkStart w:id="141" w:name="_Toc23234"/>
      <w:r>
        <w:rPr>
          <w:rFonts w:hint="eastAsia"/>
        </w:rPr>
        <w:t>答疑澄清文件</w:t>
      </w:r>
      <w:bookmarkEnd w:id="140"/>
      <w:bookmarkEnd w:id="141"/>
    </w:p>
    <w:p>
      <w:pPr>
        <w:pStyle w:val="5"/>
      </w:pPr>
      <w:bookmarkStart w:id="142" w:name="_Toc26870"/>
      <w:r>
        <w:rPr>
          <w:rFonts w:hint="eastAsia"/>
        </w:rPr>
        <w:t>前提条件</w:t>
      </w:r>
      <w:bookmarkEnd w:id="142"/>
    </w:p>
    <w:p>
      <w:pPr>
        <w:ind w:firstLine="420"/>
      </w:pPr>
      <w:r>
        <w:rPr>
          <w:rFonts w:hint="eastAsia"/>
        </w:rPr>
        <w:t>招标文件备案审核通过。</w:t>
      </w:r>
    </w:p>
    <w:p>
      <w:pPr>
        <w:pStyle w:val="5"/>
      </w:pPr>
      <w:bookmarkStart w:id="143" w:name="_Toc9277"/>
      <w:r>
        <w:rPr>
          <w:rFonts w:hint="eastAsia"/>
        </w:rPr>
        <w:t>基本功能</w:t>
      </w:r>
      <w:bookmarkEnd w:id="143"/>
    </w:p>
    <w:p>
      <w:pPr>
        <w:ind w:firstLine="420"/>
      </w:pPr>
      <w:r>
        <w:rPr>
          <w:rFonts w:hint="eastAsia"/>
        </w:rPr>
        <w:t>制作答疑澄清文件</w:t>
      </w:r>
    </w:p>
    <w:p>
      <w:pPr>
        <w:pStyle w:val="5"/>
      </w:pPr>
      <w:bookmarkStart w:id="144" w:name="_Toc15283"/>
      <w:r>
        <w:rPr>
          <w:rFonts w:hint="eastAsia"/>
        </w:rPr>
        <w:t>基本步骤</w:t>
      </w:r>
      <w:bookmarkEnd w:id="144"/>
    </w:p>
    <w:p>
      <w:pPr>
        <w:pStyle w:val="20"/>
        <w:numPr>
          <w:ilvl w:val="0"/>
          <w:numId w:val="9"/>
        </w:numPr>
        <w:ind w:firstLineChars="0"/>
      </w:pPr>
      <w:r>
        <w:rPr>
          <w:rFonts w:hint="eastAsia"/>
        </w:rPr>
        <w:t>点击“答疑澄清文件—新增答疑澄清文件”菜单，进入文件选择列表，选择需要答疑的招标项目，进入答疑澄清文件编辑页面，如下图；</w:t>
      </w:r>
    </w:p>
    <w:p>
      <w:pPr>
        <w:pStyle w:val="20"/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10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9"/>
        </w:numPr>
        <w:ind w:firstLineChars="0"/>
      </w:pPr>
      <w:r>
        <w:rPr>
          <w:rFonts w:hint="eastAsia"/>
        </w:rPr>
        <w:t>点击修改按钮，进入答疑澄清文件制作页面，</w:t>
      </w:r>
      <w:r>
        <w:rPr>
          <w:rFonts w:hint="eastAsia" w:ascii="宋体" w:hAnsi="宋体" w:cs="宋体"/>
          <w:color w:val="000000"/>
          <w:kern w:val="0"/>
          <w:szCs w:val="20"/>
        </w:rPr>
        <w:t>编制答疑澄清文件相关信息</w:t>
      </w:r>
      <w:r>
        <w:rPr>
          <w:rFonts w:hint="eastAsia"/>
        </w:rPr>
        <w:t>后，签章并生成文件，同时提交审核。</w:t>
      </w:r>
    </w:p>
    <w:p>
      <w:pPr>
        <w:pStyle w:val="4"/>
      </w:pPr>
      <w:bookmarkStart w:id="145" w:name="_Toc26788"/>
      <w:r>
        <w:rPr>
          <w:rFonts w:hint="eastAsia"/>
        </w:rPr>
        <w:t>新增特殊人员录入</w:t>
      </w:r>
      <w:bookmarkEnd w:id="145"/>
    </w:p>
    <w:p>
      <w:pPr>
        <w:pStyle w:val="5"/>
      </w:pPr>
      <w:bookmarkStart w:id="146" w:name="_Toc23115"/>
      <w:r>
        <w:rPr>
          <w:rFonts w:hint="eastAsia"/>
        </w:rPr>
        <w:t>前提条件</w:t>
      </w:r>
      <w:bookmarkEnd w:id="146"/>
    </w:p>
    <w:p>
      <w:pPr>
        <w:ind w:firstLine="420"/>
      </w:pPr>
      <w:r>
        <w:rPr>
          <w:rFonts w:hint="eastAsia"/>
        </w:rPr>
        <w:t>招标文件备案审核通过并且是开标前一个工作日</w:t>
      </w:r>
    </w:p>
    <w:p>
      <w:pPr>
        <w:pStyle w:val="5"/>
      </w:pPr>
      <w:bookmarkStart w:id="147" w:name="_Toc25750"/>
      <w:r>
        <w:rPr>
          <w:rFonts w:hint="eastAsia"/>
        </w:rPr>
        <w:t>基本功能</w:t>
      </w:r>
      <w:bookmarkEnd w:id="147"/>
    </w:p>
    <w:p>
      <w:pPr>
        <w:ind w:firstLine="420"/>
      </w:pPr>
      <w:r>
        <w:rPr>
          <w:rFonts w:hint="eastAsia"/>
        </w:rPr>
        <w:t>维护进入评标室人员</w:t>
      </w:r>
    </w:p>
    <w:p>
      <w:pPr>
        <w:pStyle w:val="5"/>
      </w:pPr>
      <w:bookmarkStart w:id="148" w:name="_Toc3553"/>
      <w:r>
        <w:rPr>
          <w:rFonts w:hint="eastAsia"/>
        </w:rPr>
        <w:t>基本步骤</w:t>
      </w:r>
      <w:bookmarkEnd w:id="148"/>
    </w:p>
    <w:p>
      <w:pPr>
        <w:pStyle w:val="19"/>
        <w:numPr>
          <w:ilvl w:val="0"/>
          <w:numId w:val="10"/>
        </w:numPr>
        <w:ind w:firstLineChars="0"/>
      </w:pPr>
      <w:r>
        <w:rPr>
          <w:rFonts w:hint="eastAsia"/>
        </w:rPr>
        <w:t>点击“新增特殊人员</w:t>
      </w:r>
      <w:r>
        <w:t>—</w:t>
      </w:r>
      <w:r>
        <w:rPr>
          <w:rFonts w:hint="eastAsia"/>
        </w:rPr>
        <w:t>录入”，进入人员维护页面，如下图：</w:t>
      </w:r>
    </w:p>
    <w:p>
      <w:pPr>
        <w:ind w:firstLineChars="0"/>
        <w:rPr>
          <w:b/>
        </w:rPr>
      </w:pPr>
      <w:r>
        <w:drawing>
          <wp:inline distT="0" distB="0" distL="114300" distR="114300">
            <wp:extent cx="5266690" cy="2406015"/>
            <wp:effectExtent l="0" t="0" r="3810" b="6985"/>
            <wp:docPr id="10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0"/>
        </w:numPr>
        <w:ind w:firstLineChars="0"/>
      </w:pPr>
      <w:r>
        <w:rPr>
          <w:rFonts w:hint="eastAsia"/>
        </w:rPr>
        <w:t>录入相关人员后关闭页面即可。</w:t>
      </w:r>
    </w:p>
    <w:p>
      <w:pPr>
        <w:ind w:left="442" w:firstLine="0" w:firstLineChars="0"/>
      </w:pPr>
      <w:r>
        <w:rPr>
          <w:rStyle w:val="13"/>
          <w:rFonts w:hint="eastAsia" w:ascii="微软雅黑" w:hAnsi="微软雅黑" w:eastAsia="微软雅黑" w:cs="Tahoma"/>
          <w:color w:val="FF0000"/>
          <w:sz w:val="20"/>
          <w:szCs w:val="20"/>
        </w:rPr>
        <w:t>注意：进入评标室人员维护只可以提前一个工作日进行录入</w:t>
      </w:r>
    </w:p>
    <w:p>
      <w:pPr>
        <w:pStyle w:val="4"/>
      </w:pPr>
      <w:bookmarkStart w:id="149" w:name="_Toc29988550"/>
      <w:bookmarkStart w:id="150" w:name="_Toc18344"/>
      <w:r>
        <w:rPr>
          <w:rFonts w:hint="eastAsia"/>
        </w:rPr>
        <w:t>废标公告</w:t>
      </w:r>
      <w:bookmarkEnd w:id="149"/>
      <w:bookmarkEnd w:id="150"/>
    </w:p>
    <w:p>
      <w:pPr>
        <w:pStyle w:val="5"/>
      </w:pPr>
      <w:bookmarkStart w:id="151" w:name="_Toc3792"/>
      <w:r>
        <w:rPr>
          <w:rFonts w:hint="eastAsia"/>
        </w:rPr>
        <w:t>前提条件</w:t>
      </w:r>
      <w:bookmarkEnd w:id="151"/>
    </w:p>
    <w:p>
      <w:pPr>
        <w:ind w:firstLine="420"/>
      </w:pPr>
      <w:r>
        <w:rPr>
          <w:rFonts w:hint="eastAsia"/>
        </w:rPr>
        <w:t>已发布招标公告。</w:t>
      </w:r>
    </w:p>
    <w:p>
      <w:pPr>
        <w:pStyle w:val="5"/>
      </w:pPr>
      <w:bookmarkStart w:id="152" w:name="_Toc23443"/>
      <w:r>
        <w:rPr>
          <w:rFonts w:hint="eastAsia"/>
        </w:rPr>
        <w:t>基本功能</w:t>
      </w:r>
      <w:bookmarkEnd w:id="152"/>
    </w:p>
    <w:p>
      <w:pPr>
        <w:ind w:firstLine="420"/>
      </w:pPr>
      <w:r>
        <w:rPr>
          <w:rFonts w:hint="eastAsia"/>
        </w:rPr>
        <w:t>发布废标公告</w:t>
      </w:r>
    </w:p>
    <w:p>
      <w:pPr>
        <w:pStyle w:val="5"/>
      </w:pPr>
      <w:bookmarkStart w:id="153" w:name="_Toc20358"/>
      <w:r>
        <w:rPr>
          <w:rFonts w:hint="eastAsia"/>
        </w:rPr>
        <w:t>基本步骤</w:t>
      </w:r>
      <w:bookmarkEnd w:id="153"/>
    </w:p>
    <w:p>
      <w:pPr>
        <w:pStyle w:val="19"/>
        <w:numPr>
          <w:ilvl w:val="0"/>
          <w:numId w:val="11"/>
        </w:numPr>
        <w:ind w:firstLineChars="0"/>
      </w:pPr>
      <w:r>
        <w:rPr>
          <w:rFonts w:hint="eastAsia"/>
        </w:rPr>
        <w:t>点击“新增废标公告”进入标段（包）选择页面，挑选对应项目后点击“确认选择”进入废标公告编辑页面，如下图：</w:t>
      </w:r>
    </w:p>
    <w:p>
      <w:pPr>
        <w:ind w:left="200"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10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2362200"/>
            <wp:effectExtent l="0" t="0" r="8255" b="0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00"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1"/>
        </w:numPr>
        <w:ind w:firstLineChars="0"/>
      </w:pPr>
      <w:r>
        <w:rPr>
          <w:rFonts w:hint="eastAsia"/>
        </w:rPr>
        <w:t>填写废标相关信息后提交审核。</w:t>
      </w:r>
    </w:p>
    <w:p>
      <w:pPr>
        <w:ind w:firstLine="0" w:firstLineChars="0"/>
      </w:pPr>
    </w:p>
    <w:p>
      <w:pPr>
        <w:pStyle w:val="4"/>
      </w:pPr>
      <w:bookmarkStart w:id="154" w:name="_Toc499281218"/>
      <w:bookmarkStart w:id="155" w:name="_Toc29988551"/>
      <w:bookmarkStart w:id="156" w:name="_Toc25124"/>
      <w:r>
        <w:rPr>
          <w:rFonts w:hint="eastAsia"/>
        </w:rPr>
        <w:t>中标候选人公示</w:t>
      </w:r>
      <w:bookmarkEnd w:id="154"/>
      <w:bookmarkEnd w:id="155"/>
      <w:bookmarkEnd w:id="156"/>
    </w:p>
    <w:p>
      <w:pPr>
        <w:pStyle w:val="5"/>
      </w:pPr>
      <w:bookmarkStart w:id="157" w:name="_Toc10068"/>
      <w:r>
        <w:rPr>
          <w:rFonts w:hint="eastAsia"/>
        </w:rPr>
        <w:t>前提条件</w:t>
      </w:r>
      <w:bookmarkEnd w:id="157"/>
    </w:p>
    <w:p>
      <w:pPr>
        <w:ind w:firstLine="420"/>
      </w:pPr>
      <w:r>
        <w:rPr>
          <w:rFonts w:hint="eastAsia"/>
        </w:rPr>
        <w:t>评标结束</w:t>
      </w:r>
    </w:p>
    <w:p>
      <w:pPr>
        <w:pStyle w:val="5"/>
      </w:pPr>
      <w:bookmarkStart w:id="158" w:name="_Toc18263"/>
      <w:r>
        <w:rPr>
          <w:rFonts w:hint="eastAsia"/>
        </w:rPr>
        <w:t>基本功能</w:t>
      </w:r>
      <w:bookmarkEnd w:id="158"/>
    </w:p>
    <w:p>
      <w:pPr>
        <w:ind w:firstLine="420"/>
      </w:pPr>
      <w:r>
        <w:t xml:space="preserve"> </w:t>
      </w:r>
      <w:r>
        <w:rPr>
          <w:rFonts w:hint="eastAsia"/>
        </w:rPr>
        <w:t>公示中标候选人名单</w:t>
      </w:r>
    </w:p>
    <w:p>
      <w:pPr>
        <w:pStyle w:val="5"/>
      </w:pPr>
      <w:bookmarkStart w:id="159" w:name="_Toc9352"/>
      <w:r>
        <w:rPr>
          <w:rFonts w:hint="eastAsia"/>
        </w:rPr>
        <w:t>基本步骤</w:t>
      </w:r>
      <w:bookmarkEnd w:id="159"/>
    </w:p>
    <w:p>
      <w:pPr>
        <w:pStyle w:val="19"/>
        <w:numPr>
          <w:ilvl w:val="0"/>
          <w:numId w:val="12"/>
        </w:numPr>
        <w:ind w:firstLineChars="0"/>
      </w:pPr>
      <w:r>
        <w:rPr>
          <w:rFonts w:hint="eastAsia"/>
        </w:rPr>
        <w:t>点击“中标候选人公示——新增中标候选人公示”菜单，挑选相应招标项目，进入中标候选人公示列表页面。</w:t>
      </w:r>
    </w:p>
    <w:p>
      <w:pPr>
        <w:ind w:firstLine="0" w:firstLineChars="0"/>
      </w:pPr>
      <w:r>
        <w:drawing>
          <wp:inline distT="0" distB="0" distL="114300" distR="114300">
            <wp:extent cx="5277485" cy="2269490"/>
            <wp:effectExtent l="0" t="0" r="5715" b="3810"/>
            <wp:docPr id="10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2"/>
        </w:numPr>
        <w:ind w:firstLineChars="0"/>
      </w:pPr>
      <w:r>
        <w:rPr>
          <w:rFonts w:hint="eastAsia"/>
        </w:rPr>
        <w:t>选择标段，进行新增候选人公示填写。</w:t>
      </w:r>
    </w:p>
    <w:p>
      <w:pPr>
        <w:pStyle w:val="20"/>
        <w:ind w:firstLine="0" w:firstLineChars="0"/>
      </w:pPr>
    </w:p>
    <w:p>
      <w:pPr>
        <w:pStyle w:val="20"/>
        <w:numPr>
          <w:ilvl w:val="0"/>
          <w:numId w:val="12"/>
        </w:numPr>
        <w:ind w:firstLineChars="0"/>
      </w:pPr>
      <w:r>
        <w:rPr>
          <w:rFonts w:hint="eastAsia"/>
        </w:rPr>
        <w:t>信息填写完善后，点击下一步，提交审核即可。</w:t>
      </w:r>
    </w:p>
    <w:p>
      <w:pPr>
        <w:pStyle w:val="20"/>
        <w:ind w:firstLine="0" w:firstLineChars="0"/>
      </w:pPr>
    </w:p>
    <w:p>
      <w:pPr>
        <w:pStyle w:val="4"/>
      </w:pPr>
      <w:bookmarkStart w:id="160" w:name="_Toc499281219"/>
      <w:bookmarkStart w:id="161" w:name="_Toc29988552"/>
      <w:bookmarkStart w:id="162" w:name="_Toc29047"/>
      <w:r>
        <w:rPr>
          <w:rFonts w:hint="eastAsia"/>
        </w:rPr>
        <w:t>中标结果</w:t>
      </w:r>
      <w:bookmarkEnd w:id="160"/>
      <w:r>
        <w:rPr>
          <w:rFonts w:hint="eastAsia"/>
        </w:rPr>
        <w:t>公告</w:t>
      </w:r>
      <w:bookmarkEnd w:id="161"/>
      <w:bookmarkEnd w:id="162"/>
    </w:p>
    <w:p>
      <w:pPr>
        <w:pStyle w:val="5"/>
      </w:pPr>
      <w:bookmarkStart w:id="163" w:name="_Toc18574"/>
      <w:r>
        <w:rPr>
          <w:rFonts w:hint="eastAsia"/>
        </w:rPr>
        <w:t>前提条件</w:t>
      </w:r>
      <w:bookmarkEnd w:id="163"/>
    </w:p>
    <w:p>
      <w:pPr>
        <w:ind w:firstLine="420"/>
      </w:pPr>
      <w:r>
        <w:rPr>
          <w:rFonts w:hint="eastAsia"/>
        </w:rPr>
        <w:t>中标候选人公示审核通过。</w:t>
      </w:r>
    </w:p>
    <w:p>
      <w:pPr>
        <w:pStyle w:val="5"/>
      </w:pPr>
      <w:bookmarkStart w:id="164" w:name="_Toc1871"/>
      <w:r>
        <w:rPr>
          <w:rFonts w:hint="eastAsia"/>
        </w:rPr>
        <w:t>基本功能</w:t>
      </w:r>
      <w:bookmarkEnd w:id="164"/>
    </w:p>
    <w:p>
      <w:pPr>
        <w:ind w:firstLine="420"/>
      </w:pPr>
      <w:r>
        <w:rPr>
          <w:rFonts w:hint="eastAsia"/>
        </w:rPr>
        <w:t>中标结果公示发布。</w:t>
      </w:r>
    </w:p>
    <w:p>
      <w:pPr>
        <w:pStyle w:val="5"/>
      </w:pPr>
      <w:bookmarkStart w:id="165" w:name="_Toc17903"/>
      <w:r>
        <w:rPr>
          <w:rFonts w:hint="eastAsia"/>
        </w:rPr>
        <w:t>基本步骤</w:t>
      </w:r>
      <w:bookmarkEnd w:id="165"/>
    </w:p>
    <w:p>
      <w:pPr>
        <w:pStyle w:val="20"/>
        <w:numPr>
          <w:ilvl w:val="0"/>
          <w:numId w:val="13"/>
        </w:numPr>
        <w:ind w:firstLineChars="0"/>
      </w:pPr>
      <w:r>
        <w:rPr>
          <w:rFonts w:hint="eastAsia"/>
        </w:rPr>
        <w:t>点击“中标结果公告——新增中标结果”菜单，挑选招标项目确认，进入中标结果公示页面。</w:t>
      </w:r>
      <w:r>
        <w:drawing>
          <wp:inline distT="0" distB="0" distL="114300" distR="114300">
            <wp:extent cx="5275580" cy="2181860"/>
            <wp:effectExtent l="0" t="0" r="7620" b="2540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</w:pPr>
    </w:p>
    <w:p>
      <w:pPr>
        <w:pStyle w:val="20"/>
        <w:numPr>
          <w:ilvl w:val="0"/>
          <w:numId w:val="13"/>
        </w:numPr>
        <w:ind w:firstLineChars="0"/>
      </w:pPr>
      <w:r>
        <w:rPr>
          <w:rFonts w:hint="eastAsia"/>
        </w:rPr>
        <w:t>在中标结果公示页面点击“操作”按钮，进入中标单位选择页面，挑选中标单位以及填写相关信息。</w:t>
      </w:r>
    </w:p>
    <w:p>
      <w:pPr>
        <w:pStyle w:val="20"/>
        <w:ind w:firstLine="0" w:firstLineChars="0"/>
      </w:pPr>
    </w:p>
    <w:p>
      <w:pPr>
        <w:pStyle w:val="20"/>
        <w:numPr>
          <w:ilvl w:val="0"/>
          <w:numId w:val="13"/>
        </w:numPr>
        <w:ind w:firstLineChars="0"/>
      </w:pPr>
      <w:r>
        <w:rPr>
          <w:rFonts w:hint="eastAsia"/>
        </w:rPr>
        <w:t>挑选中标单位页面，点击“检索”按钮挑选中标单位和项目负责人，并且填写其它相关信息后，点击“修改保存”按钮，回到中标结果公示页面。</w:t>
      </w:r>
    </w:p>
    <w:p>
      <w:pPr>
        <w:pStyle w:val="20"/>
        <w:ind w:firstLine="0" w:firstLineChars="0"/>
      </w:pPr>
    </w:p>
    <w:p>
      <w:pPr>
        <w:pStyle w:val="20"/>
        <w:numPr>
          <w:ilvl w:val="0"/>
          <w:numId w:val="13"/>
        </w:numPr>
        <w:ind w:firstLineChars="0"/>
      </w:pPr>
      <w:r>
        <w:rPr>
          <w:rFonts w:hint="eastAsia"/>
        </w:rPr>
        <w:t>填写完中标结果公示相关信息后，点击“提交审核”按钮，等待审核即可。</w:t>
      </w:r>
    </w:p>
    <w:p>
      <w:pPr>
        <w:pStyle w:val="20"/>
        <w:ind w:firstLine="0" w:firstLineChars="0"/>
      </w:pPr>
    </w:p>
    <w:p>
      <w:pPr>
        <w:pStyle w:val="4"/>
      </w:pPr>
      <w:bookmarkStart w:id="166" w:name="_Toc1179"/>
      <w:r>
        <w:rPr>
          <w:rFonts w:hint="eastAsia"/>
        </w:rPr>
        <w:t>中标通知书</w:t>
      </w:r>
      <w:bookmarkEnd w:id="166"/>
    </w:p>
    <w:p>
      <w:pPr>
        <w:pStyle w:val="5"/>
      </w:pPr>
      <w:bookmarkStart w:id="167" w:name="_Toc22367"/>
      <w:r>
        <w:rPr>
          <w:rFonts w:hint="eastAsia"/>
        </w:rPr>
        <w:t>前提条件</w:t>
      </w:r>
      <w:bookmarkEnd w:id="167"/>
    </w:p>
    <w:p>
      <w:pPr>
        <w:ind w:firstLine="420"/>
      </w:pPr>
      <w:r>
        <w:rPr>
          <w:rFonts w:hint="eastAsia"/>
        </w:rPr>
        <w:t>中标结果公示结束。</w:t>
      </w:r>
    </w:p>
    <w:p>
      <w:pPr>
        <w:pStyle w:val="5"/>
      </w:pPr>
      <w:bookmarkStart w:id="168" w:name="_Toc30567"/>
      <w:r>
        <w:rPr>
          <w:rFonts w:hint="eastAsia"/>
        </w:rPr>
        <w:t>基本功能</w:t>
      </w:r>
      <w:bookmarkEnd w:id="168"/>
    </w:p>
    <w:p>
      <w:pPr>
        <w:ind w:firstLine="420"/>
      </w:pPr>
    </w:p>
    <w:p>
      <w:pPr>
        <w:pStyle w:val="20"/>
        <w:numPr>
          <w:ilvl w:val="0"/>
          <w:numId w:val="14"/>
        </w:numPr>
        <w:ind w:firstLineChars="0"/>
      </w:pPr>
      <w:r>
        <w:rPr>
          <w:rFonts w:hint="eastAsia"/>
        </w:rPr>
        <w:t>基本步骤</w:t>
      </w:r>
    </w:p>
    <w:p>
      <w:pPr>
        <w:pStyle w:val="20"/>
        <w:ind w:firstLine="420"/>
      </w:pPr>
      <w:r>
        <w:rPr>
          <w:rFonts w:hint="eastAsia"/>
        </w:rPr>
        <w:t>发布中标通知书。</w:t>
      </w:r>
    </w:p>
    <w:p>
      <w:pPr>
        <w:pStyle w:val="20"/>
        <w:ind w:firstLine="420"/>
      </w:pPr>
    </w:p>
    <w:p>
      <w:pPr>
        <w:pStyle w:val="20"/>
        <w:numPr>
          <w:ilvl w:val="0"/>
          <w:numId w:val="14"/>
        </w:numPr>
        <w:ind w:firstLineChars="0"/>
      </w:pPr>
      <w:r>
        <w:rPr>
          <w:rFonts w:hint="eastAsia"/>
        </w:rPr>
        <w:t>点击“中标通知书”菜单，再点击“新增通知书”按钮，挑选标段确认，进入中标通知书页面。</w:t>
      </w:r>
    </w:p>
    <w:p>
      <w:pPr>
        <w:pStyle w:val="20"/>
        <w:ind w:left="360" w:firstLine="0" w:firstLineChars="0"/>
      </w:pPr>
      <w:r>
        <w:drawing>
          <wp:inline distT="0" distB="0" distL="114300" distR="114300">
            <wp:extent cx="5278120" cy="2261235"/>
            <wp:effectExtent l="0" t="0" r="5080" b="1206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4"/>
        </w:numPr>
        <w:ind w:firstLineChars="0"/>
      </w:pPr>
      <w:r>
        <w:rPr>
          <w:rFonts w:hint="eastAsia"/>
        </w:rPr>
        <w:t>根据模板填写相关信息后，点击下一步，提交审核即可。</w:t>
      </w:r>
    </w:p>
    <w:p>
      <w:pPr>
        <w:pStyle w:val="20"/>
        <w:ind w:firstLine="0" w:firstLineChars="0"/>
      </w:pPr>
    </w:p>
    <w:p>
      <w:pPr>
        <w:ind w:firstLine="0" w:firstLineChars="0"/>
      </w:pPr>
    </w:p>
    <w:p>
      <w:pPr>
        <w:pStyle w:val="16"/>
        <w:ind w:firstLine="0" w:firstLineChars="0"/>
      </w:pPr>
    </w:p>
    <w:bookmarkEnd w:id="4"/>
    <w:p>
      <w:pPr>
        <w:pStyle w:val="3"/>
        <w:bidi w:val="0"/>
      </w:pPr>
      <w:bookmarkStart w:id="169" w:name="_Toc20637"/>
      <w:r>
        <w:rPr>
          <w:rFonts w:hint="eastAsia"/>
        </w:rPr>
        <w:t>开标流程介绍</w:t>
      </w:r>
      <w:bookmarkEnd w:id="169"/>
    </w:p>
    <w:p>
      <w:pPr>
        <w:pStyle w:val="4"/>
        <w:bidi w:val="0"/>
      </w:pPr>
      <w:bookmarkStart w:id="170" w:name="_Toc18669"/>
      <w:r>
        <w:rPr>
          <w:rFonts w:hint="eastAsia"/>
        </w:rPr>
        <w:t>登录开评标系统</w:t>
      </w:r>
      <w:bookmarkEnd w:id="170"/>
    </w:p>
    <w:p>
      <w:pPr>
        <w:pStyle w:val="19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进入吉林省一体化网上开评标系统首页，如下图：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5"/>
        </w:numPr>
        <w:ind w:firstLineChars="0"/>
      </w:pPr>
      <w:r>
        <w:rPr>
          <w:rFonts w:hint="eastAsia"/>
        </w:rPr>
        <w:t>选择“CA登陆”输入“CA密码”点击“登陆”，进入开评标系统。如下图：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bookmarkStart w:id="171" w:name="_Toc393"/>
      <w:r>
        <w:rPr>
          <w:rFonts w:hint="eastAsia"/>
        </w:rPr>
        <w:t>进入项目</w:t>
      </w:r>
      <w:bookmarkEnd w:id="171"/>
    </w:p>
    <w:p>
      <w:pPr>
        <w:pStyle w:val="19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在“今日开标项目”中，找到需要开标项目，点击“进入项目”。如下图：</w:t>
      </w:r>
    </w:p>
    <w:p>
      <w:pPr>
        <w:ind w:firstLine="0" w:firstLineChars="0"/>
      </w:pPr>
      <w:r>
        <w:drawing>
          <wp:inline distT="0" distB="0" distL="114300" distR="114300">
            <wp:extent cx="5269230" cy="2072640"/>
            <wp:effectExtent l="0" t="0" r="1270" b="10160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</w:pPr>
      <w:bookmarkStart w:id="172" w:name="_Toc26368"/>
      <w:r>
        <w:rPr>
          <w:rFonts w:hint="eastAsia"/>
        </w:rPr>
        <w:t>3.3、公布投标人</w:t>
      </w:r>
      <w:bookmarkEnd w:id="172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公布所有报名的投标单位。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19"/>
        <w:numPr>
          <w:ilvl w:val="0"/>
          <w:numId w:val="17"/>
        </w:numPr>
        <w:ind w:left="360" w:leftChars="0" w:firstLine="89" w:firstLineChars="0"/>
        <w:rPr>
          <w:rFonts w:hint="eastAsia"/>
        </w:rPr>
      </w:pPr>
      <w:r>
        <w:rPr>
          <w:rFonts w:hint="eastAsia"/>
        </w:rPr>
        <w:t>点击“公布投标人”菜单，进行投标人公布页面。如下图：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7"/>
        </w:numPr>
        <w:ind w:left="360" w:leftChars="0" w:firstLine="89" w:firstLineChars="0"/>
      </w:pPr>
      <w:r>
        <w:rPr>
          <w:rFonts w:hint="eastAsia"/>
        </w:rPr>
        <w:t>点击“公布投标单位名单”按钮，公布所有报名的投标单位信息。如下图：</w:t>
      </w:r>
    </w:p>
    <w:p>
      <w:pPr>
        <w:pStyle w:val="19"/>
        <w:widowControl w:val="0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406015"/>
            <wp:effectExtent l="0" t="0" r="10160" b="13335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8"/>
        </w:numPr>
      </w:pPr>
      <w:bookmarkStart w:id="173" w:name="_Toc27879"/>
      <w:r>
        <w:rPr>
          <w:rFonts w:hint="eastAsia"/>
        </w:rPr>
        <w:t>、投标人解密</w:t>
      </w:r>
      <w:bookmarkEnd w:id="173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投标人对投标文件进行解密。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1、点击“投标文件解密”菜单，进入投标人解密阶段。如下图：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2、投标人在解密一体机上插入CA锁，进行文件解密。</w:t>
      </w:r>
    </w:p>
    <w:p>
      <w:pPr>
        <w:ind w:firstLine="420"/>
      </w:pPr>
      <w:r>
        <w:rPr>
          <w:rFonts w:hint="eastAsia"/>
        </w:rPr>
        <w:t>3、投标人全部解密结束以后，代理公司点击“解密结束”按钮，结束“投标人解密阶段”。如下图：</w:t>
      </w:r>
      <w:r>
        <w:drawing>
          <wp:inline distT="0" distB="0" distL="114300" distR="114300">
            <wp:extent cx="5275580" cy="2656205"/>
            <wp:effectExtent l="0" t="0" r="7620" b="1079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4、投标人解密阶段结束以后，点击“导入投标单位唱标信息”。如下图：</w:t>
      </w:r>
      <w:r>
        <w:drawing>
          <wp:inline distT="0" distB="0" distL="114300" distR="114300">
            <wp:extent cx="5272405" cy="2694305"/>
            <wp:effectExtent l="0" t="0" r="10795" b="1079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8"/>
        </w:numPr>
      </w:pPr>
      <w:bookmarkStart w:id="174" w:name="_Toc19384"/>
      <w:r>
        <w:rPr>
          <w:rFonts w:hint="eastAsia"/>
        </w:rPr>
        <w:t>、唱标</w:t>
      </w:r>
      <w:bookmarkEnd w:id="174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公布投标人名单及报价信息。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1、点击“唱标”菜单，进入“唱标”阶段。如下图：</w:t>
      </w:r>
      <w:r>
        <w:drawing>
          <wp:inline distT="0" distB="0" distL="114300" distR="114300">
            <wp:extent cx="5278120" cy="2710180"/>
            <wp:effectExtent l="0" t="0" r="5080" b="762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2、异常情况录入。如下图：</w:t>
      </w:r>
      <w:r>
        <w:drawing>
          <wp:inline distT="0" distB="0" distL="0" distR="0">
            <wp:extent cx="5278120" cy="2965450"/>
            <wp:effectExtent l="0" t="0" r="508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/>
        </w:rPr>
        <w:t>3.开标备注修改，手动录入或者点击“选择原因”按钮，挑选原因。如下图：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740025"/>
            <wp:effectExtent l="0" t="0" r="9525" b="317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8"/>
        </w:numPr>
      </w:pPr>
      <w:bookmarkStart w:id="175" w:name="_Toc25446"/>
      <w:r>
        <w:rPr>
          <w:rFonts w:hint="eastAsia"/>
        </w:rPr>
        <w:t>、开标结束</w:t>
      </w:r>
      <w:bookmarkEnd w:id="175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结束开标活动。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1、点击“开标结束”菜单，进入开标结束阶段。如下图：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2、点击“开标结束”按钮，结束开标。</w:t>
      </w:r>
    </w:p>
    <w:p>
      <w:pPr>
        <w:ind w:firstLine="0" w:firstLineChars="0"/>
      </w:pPr>
    </w:p>
    <w:p>
      <w:pPr>
        <w:pStyle w:val="3"/>
        <w:numPr>
          <w:ilvl w:val="0"/>
          <w:numId w:val="0"/>
        </w:numPr>
      </w:pPr>
      <w:bookmarkStart w:id="176" w:name="_Toc12014"/>
      <w:r>
        <w:rPr>
          <w:rFonts w:hint="eastAsia"/>
          <w:highlight w:val="lightGray"/>
        </w:rPr>
        <w:t>四、</w:t>
      </w:r>
      <w:r>
        <w:rPr>
          <w:rFonts w:hint="eastAsia"/>
        </w:rPr>
        <w:t>评标准备</w:t>
      </w:r>
      <w:bookmarkEnd w:id="176"/>
    </w:p>
    <w:p>
      <w:pPr>
        <w:pStyle w:val="4"/>
        <w:numPr>
          <w:ilvl w:val="0"/>
          <w:numId w:val="19"/>
        </w:numPr>
      </w:pPr>
      <w:bookmarkStart w:id="177" w:name="_Toc18382"/>
      <w:r>
        <w:rPr>
          <w:rFonts w:hint="eastAsia"/>
        </w:rPr>
        <w:t>、招标文件导入</w:t>
      </w:r>
      <w:bookmarkEnd w:id="177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导入招标文件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19"/>
        <w:numPr>
          <w:ilvl w:val="0"/>
          <w:numId w:val="20"/>
        </w:numPr>
        <w:ind w:firstLineChars="0"/>
      </w:pPr>
      <w:r>
        <w:rPr>
          <w:rFonts w:hint="eastAsia"/>
        </w:rPr>
        <w:t>点击“招标文件导入”菜单，进入招标文件导入页面。如下图：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0"/>
        </w:numPr>
        <w:ind w:firstLineChars="0"/>
      </w:pPr>
      <w:r>
        <w:rPr>
          <w:rFonts w:hint="eastAsia"/>
        </w:rPr>
        <w:t>点击“上传”按钮，导入招标文件。如下图：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</w:pPr>
      <w:bookmarkStart w:id="178" w:name="_Toc9610"/>
      <w:r>
        <w:rPr>
          <w:rFonts w:hint="eastAsia"/>
        </w:rPr>
        <w:t>、控制价录入</w:t>
      </w:r>
      <w:bookmarkEnd w:id="178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录入控制价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19"/>
        <w:numPr>
          <w:ilvl w:val="0"/>
          <w:numId w:val="21"/>
        </w:numPr>
        <w:ind w:firstLine="0" w:firstLineChars="0"/>
      </w:pPr>
      <w:r>
        <w:rPr>
          <w:rFonts w:hint="eastAsia"/>
        </w:rPr>
        <w:t>点击“控制价录入”菜单，进入投标最高限价页面。如下图：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</w:p>
    <w:p>
      <w:pPr>
        <w:pStyle w:val="4"/>
        <w:numPr>
          <w:ilvl w:val="0"/>
          <w:numId w:val="19"/>
        </w:numPr>
      </w:pPr>
      <w:bookmarkStart w:id="179" w:name="_Toc4312"/>
      <w:r>
        <w:rPr>
          <w:rFonts w:hint="eastAsia"/>
        </w:rPr>
        <w:t>、评标办法</w:t>
      </w:r>
      <w:bookmarkEnd w:id="179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评标办法最后确认。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19"/>
        <w:numPr>
          <w:ilvl w:val="0"/>
          <w:numId w:val="22"/>
        </w:numPr>
        <w:ind w:firstLineChars="0"/>
      </w:pPr>
      <w:r>
        <w:rPr>
          <w:rFonts w:hint="eastAsia"/>
        </w:rPr>
        <w:t>点击“评标办法”菜单，进入评标办法查看页面，进行评标办法最终确认。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</w:pPr>
      <w:bookmarkStart w:id="180" w:name="_Toc10314"/>
      <w:r>
        <w:rPr>
          <w:rFonts w:hint="eastAsia"/>
        </w:rPr>
        <w:t>、确认评委</w:t>
      </w:r>
      <w:bookmarkEnd w:id="180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获取评委。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19"/>
        <w:numPr>
          <w:ilvl w:val="0"/>
          <w:numId w:val="23"/>
        </w:numPr>
        <w:ind w:firstLineChars="0"/>
      </w:pPr>
      <w:r>
        <w:rPr>
          <w:rFonts w:hint="eastAsia"/>
        </w:rPr>
        <w:t>点击“确认评委”菜单，进入“获取评委”页面。如下图：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3"/>
        </w:numPr>
        <w:ind w:firstLineChars="0"/>
      </w:pPr>
      <w:r>
        <w:rPr>
          <w:rFonts w:hint="eastAsia"/>
        </w:rPr>
        <w:t>点击“获取评委名单”按钮，获取评委名单。如下图：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660650"/>
            <wp:effectExtent l="0" t="0" r="9525" b="635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</w:pPr>
      <w:bookmarkStart w:id="181" w:name="_Toc32594"/>
      <w:r>
        <w:rPr>
          <w:rFonts w:hint="eastAsia"/>
        </w:rPr>
        <w:t>、确认评委回避单位</w:t>
      </w:r>
      <w:bookmarkEnd w:id="181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汇总评委回避情况。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19"/>
        <w:numPr>
          <w:ilvl w:val="0"/>
          <w:numId w:val="24"/>
        </w:numPr>
        <w:ind w:firstLineChars="0"/>
      </w:pPr>
      <w:r>
        <w:rPr>
          <w:rFonts w:hint="eastAsia"/>
        </w:rPr>
        <w:t>点击“确认评委回避单位”菜单，进入评委回避单位汇总页面。</w:t>
      </w:r>
    </w:p>
    <w:p>
      <w:pPr>
        <w:ind w:firstLineChars="0"/>
      </w:pPr>
      <w:r>
        <w:drawing>
          <wp:inline distT="0" distB="0" distL="114300" distR="114300">
            <wp:extent cx="5273675" cy="2745740"/>
            <wp:effectExtent l="0" t="0" r="9525" b="10160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</w:pPr>
      <w:bookmarkStart w:id="182" w:name="_Toc26065"/>
      <w:r>
        <w:rPr>
          <w:rFonts w:hint="eastAsia"/>
        </w:rPr>
        <w:t>、确认评委负责人</w:t>
      </w:r>
      <w:bookmarkEnd w:id="182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确认评委组长。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19"/>
        <w:numPr>
          <w:ilvl w:val="0"/>
          <w:numId w:val="25"/>
        </w:numPr>
        <w:ind w:firstLineChars="0"/>
      </w:pPr>
      <w:r>
        <w:rPr>
          <w:rFonts w:hint="eastAsia"/>
        </w:rPr>
        <w:t>点击“确认评委负责人”菜单，进入确认评委负责人推举汇总页面。</w:t>
      </w:r>
    </w:p>
    <w:p>
      <w:pPr>
        <w:ind w:firstLineChars="0"/>
      </w:pPr>
      <w:r>
        <w:drawing>
          <wp:inline distT="0" distB="0" distL="114300" distR="114300">
            <wp:extent cx="5266690" cy="2406015"/>
            <wp:effectExtent l="0" t="0" r="3810" b="6985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5"/>
        </w:numPr>
        <w:ind w:firstLineChars="0"/>
      </w:pPr>
      <w:r>
        <w:rPr>
          <w:rFonts w:hint="eastAsia"/>
        </w:rPr>
        <w:t>点击“确认推荐”按钮，确认获得最高票的评委为评委会组长。如下图：</w:t>
      </w:r>
    </w:p>
    <w:p>
      <w:pPr>
        <w:ind w:firstLineChars="0"/>
      </w:pPr>
      <w:r>
        <w:drawing>
          <wp:inline distT="0" distB="0" distL="114300" distR="114300">
            <wp:extent cx="5274945" cy="2653030"/>
            <wp:effectExtent l="0" t="0" r="8255" b="127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5"/>
        </w:numPr>
        <w:ind w:firstLineChars="0"/>
      </w:pPr>
      <w:r>
        <w:rPr>
          <w:rFonts w:hint="eastAsia"/>
        </w:rPr>
        <w:t>点击“重新推荐”，发起多轮评委组长推举。如下图：</w:t>
      </w:r>
    </w:p>
    <w:p>
      <w:pPr>
        <w:ind w:firstLineChars="0"/>
      </w:pPr>
      <w:r>
        <w:drawing>
          <wp:inline distT="0" distB="0" distL="114300" distR="114300">
            <wp:extent cx="5274945" cy="2710815"/>
            <wp:effectExtent l="0" t="0" r="8255" b="6985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142"/>
      </w:pPr>
      <w:bookmarkStart w:id="183" w:name="_Toc25724"/>
      <w:r>
        <w:rPr>
          <w:rFonts w:hint="eastAsia"/>
          <w:highlight w:val="lightGray"/>
        </w:rPr>
        <w:t>五、</w:t>
      </w:r>
      <w:r>
        <w:rPr>
          <w:rFonts w:hint="eastAsia"/>
        </w:rPr>
        <w:t>评标结果</w:t>
      </w:r>
      <w:r>
        <w:br w:type="textWrapping"/>
      </w:r>
      <w:bookmarkEnd w:id="183"/>
    </w:p>
    <w:p>
      <w:pPr>
        <w:pStyle w:val="4"/>
        <w:numPr>
          <w:ilvl w:val="0"/>
          <w:numId w:val="26"/>
        </w:numPr>
      </w:pPr>
      <w:bookmarkStart w:id="184" w:name="_Toc40047331"/>
      <w:bookmarkStart w:id="185" w:name="_Toc13110"/>
      <w:r>
        <w:rPr>
          <w:rFonts w:hint="eastAsia"/>
        </w:rPr>
        <w:t>、评标结束</w:t>
      </w:r>
      <w:bookmarkEnd w:id="184"/>
      <w:bookmarkEnd w:id="185"/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1、代理机构点击“评标结束”，完成评标。</w:t>
      </w:r>
    </w:p>
    <w:p>
      <w:pPr>
        <w:ind w:firstLine="420"/>
      </w:pPr>
      <w:r>
        <w:drawing>
          <wp:inline distT="0" distB="0" distL="114300" distR="114300">
            <wp:extent cx="5275580" cy="2143760"/>
            <wp:effectExtent l="0" t="0" r="7620" b="254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  <w:numPr>
          <w:ilvl w:val="0"/>
          <w:numId w:val="26"/>
        </w:numPr>
      </w:pPr>
      <w:bookmarkStart w:id="186" w:name="_Toc40047332"/>
      <w:bookmarkStart w:id="187" w:name="_Toc835"/>
      <w:r>
        <w:rPr>
          <w:rFonts w:hint="eastAsia"/>
        </w:rPr>
        <w:t>、评标报告</w:t>
      </w:r>
      <w:bookmarkEnd w:id="186"/>
      <w:bookmarkEnd w:id="187"/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1、选择需打印报告，点击批量打印，打印评标报告。如下图：</w:t>
      </w:r>
    </w:p>
    <w:p>
      <w:pPr>
        <w:ind w:firstLine="420"/>
      </w:pPr>
      <w:r>
        <w:drawing>
          <wp:inline distT="0" distB="0" distL="114300" distR="114300">
            <wp:extent cx="5276850" cy="2139950"/>
            <wp:effectExtent l="0" t="0" r="6350" b="635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680" w:footer="737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5"/>
      </w:pBdr>
      <w:wordWrap/>
      <w:spacing w:line="240" w:lineRule="auto"/>
      <w:ind w:firstLine="0" w:firstLineChars="0"/>
      <w:jc w:val="center"/>
    </w:pPr>
    <w:r>
      <w:rPr>
        <w:rFonts w:hint="eastAsia" w:ascii="Times New Roman" w:hAnsi="Times New Roman" w:eastAsia="思源宋体 CN Light" w:cs="Times New Roman"/>
        <w:i w:val="0"/>
        <w:iCs w:val="0"/>
        <w:color w:val="8C8C8C"/>
        <w:sz w:val="18"/>
        <w:lang w:val="en-US" w:eastAsia="zh-CN"/>
      </w:rPr>
      <w:t xml:space="preserve">                          国泰新点软件股份有限公司 0512-58188000</w:t>
    </w:r>
    <w:r>
      <w:rPr>
        <w:rFonts w:hint="eastAsia"/>
        <w:lang w:val="en-US" w:eastAsia="zh-CN"/>
      </w:rPr>
      <w:t xml:space="preserve">      </w:t>
    </w:r>
    <w:r>
      <w:rPr>
        <w:rFonts w:hint="eastAsia"/>
        <w:lang w:val="zh-CN"/>
      </w:rPr>
      <w:t xml:space="preserve">  </w:t>
    </w:r>
    <w:r>
      <w:rPr>
        <w:rFonts w:hint="eastAsia"/>
        <w:lang w:val="en-US" w:eastAsia="zh-CN"/>
      </w:rPr>
      <w:t xml:space="preserve">               </w:t>
    </w:r>
    <w:r>
      <w:rPr>
        <w:rFonts w:hint="eastAsia"/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30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44</w:t>
    </w:r>
    <w:r>
      <w:rPr>
        <w:rFonts w:hint="eastAsia"/>
        <w:lang w:val="zh-CN"/>
      </w:rPr>
      <w:t xml:space="preserve">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宋体" w:hAnsi="宋体"/>
      </w:rPr>
    </w:pPr>
    <w:r>
      <w:rPr>
        <w:rFonts w:hint="eastAsia" w:ascii="宋体" w:hAnsi="宋体"/>
      </w:rPr>
      <w:t>吉林省公共资源交易一体化平台农田工程（招标代理）操作手册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15E843"/>
    <w:multiLevelType w:val="multilevel"/>
    <w:tmpl w:val="E015E84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BA583F"/>
    <w:multiLevelType w:val="multilevel"/>
    <w:tmpl w:val="05BA583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F73AC8"/>
    <w:multiLevelType w:val="multilevel"/>
    <w:tmpl w:val="07F73AC8"/>
    <w:lvl w:ilvl="0" w:tentative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0" w:hanging="420"/>
      </w:pPr>
    </w:lvl>
    <w:lvl w:ilvl="2" w:tentative="0">
      <w:start w:val="1"/>
      <w:numFmt w:val="lowerRoman"/>
      <w:lvlText w:val="%3."/>
      <w:lvlJc w:val="right"/>
      <w:pPr>
        <w:ind w:left="1700" w:hanging="420"/>
      </w:pPr>
    </w:lvl>
    <w:lvl w:ilvl="3" w:tentative="0">
      <w:start w:val="1"/>
      <w:numFmt w:val="decimal"/>
      <w:lvlText w:val="%4."/>
      <w:lvlJc w:val="left"/>
      <w:pPr>
        <w:ind w:left="2120" w:hanging="420"/>
      </w:pPr>
    </w:lvl>
    <w:lvl w:ilvl="4" w:tentative="0">
      <w:start w:val="1"/>
      <w:numFmt w:val="lowerLetter"/>
      <w:lvlText w:val="%5)"/>
      <w:lvlJc w:val="left"/>
      <w:pPr>
        <w:ind w:left="2540" w:hanging="420"/>
      </w:pPr>
    </w:lvl>
    <w:lvl w:ilvl="5" w:tentative="0">
      <w:start w:val="1"/>
      <w:numFmt w:val="lowerRoman"/>
      <w:lvlText w:val="%6."/>
      <w:lvlJc w:val="right"/>
      <w:pPr>
        <w:ind w:left="2960" w:hanging="420"/>
      </w:pPr>
    </w:lvl>
    <w:lvl w:ilvl="6" w:tentative="0">
      <w:start w:val="1"/>
      <w:numFmt w:val="decimal"/>
      <w:lvlText w:val="%7."/>
      <w:lvlJc w:val="left"/>
      <w:pPr>
        <w:ind w:left="3380" w:hanging="420"/>
      </w:pPr>
    </w:lvl>
    <w:lvl w:ilvl="7" w:tentative="0">
      <w:start w:val="1"/>
      <w:numFmt w:val="lowerLetter"/>
      <w:lvlText w:val="%8)"/>
      <w:lvlJc w:val="left"/>
      <w:pPr>
        <w:ind w:left="3800" w:hanging="420"/>
      </w:pPr>
    </w:lvl>
    <w:lvl w:ilvl="8" w:tentative="0">
      <w:start w:val="1"/>
      <w:numFmt w:val="lowerRoman"/>
      <w:lvlText w:val="%9."/>
      <w:lvlJc w:val="right"/>
      <w:pPr>
        <w:ind w:left="4220" w:hanging="420"/>
      </w:pPr>
    </w:lvl>
  </w:abstractNum>
  <w:abstractNum w:abstractNumId="3">
    <w:nsid w:val="19CE3126"/>
    <w:multiLevelType w:val="multilevel"/>
    <w:tmpl w:val="19CE3126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B967A06"/>
    <w:multiLevelType w:val="multilevel"/>
    <w:tmpl w:val="1B967A06"/>
    <w:lvl w:ilvl="0" w:tentative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24D1AE6"/>
    <w:multiLevelType w:val="multilevel"/>
    <w:tmpl w:val="224D1AE6"/>
    <w:lvl w:ilvl="0" w:tentative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0" w:hanging="420"/>
      </w:pPr>
    </w:lvl>
    <w:lvl w:ilvl="2" w:tentative="0">
      <w:start w:val="1"/>
      <w:numFmt w:val="lowerRoman"/>
      <w:lvlText w:val="%3."/>
      <w:lvlJc w:val="right"/>
      <w:pPr>
        <w:ind w:left="1700" w:hanging="420"/>
      </w:pPr>
    </w:lvl>
    <w:lvl w:ilvl="3" w:tentative="0">
      <w:start w:val="1"/>
      <w:numFmt w:val="decimal"/>
      <w:lvlText w:val="%4."/>
      <w:lvlJc w:val="left"/>
      <w:pPr>
        <w:ind w:left="2120" w:hanging="420"/>
      </w:pPr>
    </w:lvl>
    <w:lvl w:ilvl="4" w:tentative="0">
      <w:start w:val="1"/>
      <w:numFmt w:val="lowerLetter"/>
      <w:lvlText w:val="%5)"/>
      <w:lvlJc w:val="left"/>
      <w:pPr>
        <w:ind w:left="2540" w:hanging="420"/>
      </w:pPr>
    </w:lvl>
    <w:lvl w:ilvl="5" w:tentative="0">
      <w:start w:val="1"/>
      <w:numFmt w:val="lowerRoman"/>
      <w:lvlText w:val="%6."/>
      <w:lvlJc w:val="right"/>
      <w:pPr>
        <w:ind w:left="2960" w:hanging="420"/>
      </w:pPr>
    </w:lvl>
    <w:lvl w:ilvl="6" w:tentative="0">
      <w:start w:val="1"/>
      <w:numFmt w:val="decimal"/>
      <w:lvlText w:val="%7."/>
      <w:lvlJc w:val="left"/>
      <w:pPr>
        <w:ind w:left="3380" w:hanging="420"/>
      </w:pPr>
    </w:lvl>
    <w:lvl w:ilvl="7" w:tentative="0">
      <w:start w:val="1"/>
      <w:numFmt w:val="lowerLetter"/>
      <w:lvlText w:val="%8)"/>
      <w:lvlJc w:val="left"/>
      <w:pPr>
        <w:ind w:left="3800" w:hanging="420"/>
      </w:pPr>
    </w:lvl>
    <w:lvl w:ilvl="8" w:tentative="0">
      <w:start w:val="1"/>
      <w:numFmt w:val="lowerRoman"/>
      <w:lvlText w:val="%9."/>
      <w:lvlJc w:val="right"/>
      <w:pPr>
        <w:ind w:left="4220" w:hanging="420"/>
      </w:pPr>
    </w:lvl>
  </w:abstractNum>
  <w:abstractNum w:abstractNumId="6">
    <w:nsid w:val="23897B72"/>
    <w:multiLevelType w:val="singleLevel"/>
    <w:tmpl w:val="23897B72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244D4723"/>
    <w:multiLevelType w:val="multilevel"/>
    <w:tmpl w:val="244D472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5241A6E"/>
    <w:multiLevelType w:val="multilevel"/>
    <w:tmpl w:val="25241A6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6F5516B"/>
    <w:multiLevelType w:val="multilevel"/>
    <w:tmpl w:val="26F5516B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60D5664"/>
    <w:multiLevelType w:val="multilevel"/>
    <w:tmpl w:val="360D5664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B71686A"/>
    <w:multiLevelType w:val="multilevel"/>
    <w:tmpl w:val="3B71686A"/>
    <w:lvl w:ilvl="0" w:tentative="0">
      <w:start w:val="1"/>
      <w:numFmt w:val="decimal"/>
      <w:lvlText w:val="%1、"/>
      <w:lvlJc w:val="left"/>
      <w:pPr>
        <w:ind w:left="360" w:firstLine="8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D69379C"/>
    <w:multiLevelType w:val="multilevel"/>
    <w:tmpl w:val="3D69379C"/>
    <w:lvl w:ilvl="0" w:tentative="0">
      <w:start w:val="1"/>
      <w:numFmt w:val="decimal"/>
      <w:lvlText w:val="4.%1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99779E2"/>
    <w:multiLevelType w:val="multilevel"/>
    <w:tmpl w:val="499779E2"/>
    <w:lvl w:ilvl="0" w:tentative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2" w:hanging="420"/>
      </w:pPr>
    </w:lvl>
    <w:lvl w:ilvl="2" w:tentative="0">
      <w:start w:val="1"/>
      <w:numFmt w:val="lowerRoman"/>
      <w:lvlText w:val="%3."/>
      <w:lvlJc w:val="right"/>
      <w:pPr>
        <w:ind w:left="1702" w:hanging="420"/>
      </w:pPr>
    </w:lvl>
    <w:lvl w:ilvl="3" w:tentative="0">
      <w:start w:val="1"/>
      <w:numFmt w:val="decimal"/>
      <w:lvlText w:val="%4."/>
      <w:lvlJc w:val="left"/>
      <w:pPr>
        <w:ind w:left="2122" w:hanging="420"/>
      </w:pPr>
    </w:lvl>
    <w:lvl w:ilvl="4" w:tentative="0">
      <w:start w:val="1"/>
      <w:numFmt w:val="lowerLetter"/>
      <w:lvlText w:val="%5)"/>
      <w:lvlJc w:val="left"/>
      <w:pPr>
        <w:ind w:left="2542" w:hanging="420"/>
      </w:pPr>
    </w:lvl>
    <w:lvl w:ilvl="5" w:tentative="0">
      <w:start w:val="1"/>
      <w:numFmt w:val="lowerRoman"/>
      <w:lvlText w:val="%6."/>
      <w:lvlJc w:val="right"/>
      <w:pPr>
        <w:ind w:left="2962" w:hanging="420"/>
      </w:pPr>
    </w:lvl>
    <w:lvl w:ilvl="6" w:tentative="0">
      <w:start w:val="1"/>
      <w:numFmt w:val="decimal"/>
      <w:lvlText w:val="%7."/>
      <w:lvlJc w:val="left"/>
      <w:pPr>
        <w:ind w:left="3382" w:hanging="420"/>
      </w:pPr>
    </w:lvl>
    <w:lvl w:ilvl="7" w:tentative="0">
      <w:start w:val="1"/>
      <w:numFmt w:val="lowerLetter"/>
      <w:lvlText w:val="%8)"/>
      <w:lvlJc w:val="left"/>
      <w:pPr>
        <w:ind w:left="3802" w:hanging="420"/>
      </w:pPr>
    </w:lvl>
    <w:lvl w:ilvl="8" w:tentative="0">
      <w:start w:val="1"/>
      <w:numFmt w:val="lowerRoman"/>
      <w:lvlText w:val="%9."/>
      <w:lvlJc w:val="right"/>
      <w:pPr>
        <w:ind w:left="4222" w:hanging="420"/>
      </w:pPr>
    </w:lvl>
  </w:abstractNum>
  <w:abstractNum w:abstractNumId="14">
    <w:nsid w:val="4F4A02D8"/>
    <w:multiLevelType w:val="multilevel"/>
    <w:tmpl w:val="4F4A02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858D2AE"/>
    <w:multiLevelType w:val="singleLevel"/>
    <w:tmpl w:val="5858D2AE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5858D76B"/>
    <w:multiLevelType w:val="singleLevel"/>
    <w:tmpl w:val="5858D76B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7">
    <w:nsid w:val="598B7123"/>
    <w:multiLevelType w:val="multilevel"/>
    <w:tmpl w:val="598B7123"/>
    <w:lvl w:ilvl="0" w:tentative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18">
    <w:nsid w:val="5A763446"/>
    <w:multiLevelType w:val="multilevel"/>
    <w:tmpl w:val="5A763446"/>
    <w:lvl w:ilvl="0" w:tentative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2" w:hanging="420"/>
      </w:pPr>
    </w:lvl>
    <w:lvl w:ilvl="2" w:tentative="0">
      <w:start w:val="1"/>
      <w:numFmt w:val="lowerRoman"/>
      <w:lvlText w:val="%3."/>
      <w:lvlJc w:val="right"/>
      <w:pPr>
        <w:ind w:left="1702" w:hanging="420"/>
      </w:pPr>
    </w:lvl>
    <w:lvl w:ilvl="3" w:tentative="0">
      <w:start w:val="1"/>
      <w:numFmt w:val="decimal"/>
      <w:lvlText w:val="%4."/>
      <w:lvlJc w:val="left"/>
      <w:pPr>
        <w:ind w:left="2122" w:hanging="420"/>
      </w:pPr>
    </w:lvl>
    <w:lvl w:ilvl="4" w:tentative="0">
      <w:start w:val="1"/>
      <w:numFmt w:val="lowerLetter"/>
      <w:lvlText w:val="%5)"/>
      <w:lvlJc w:val="left"/>
      <w:pPr>
        <w:ind w:left="2542" w:hanging="420"/>
      </w:pPr>
    </w:lvl>
    <w:lvl w:ilvl="5" w:tentative="0">
      <w:start w:val="1"/>
      <w:numFmt w:val="lowerRoman"/>
      <w:lvlText w:val="%6."/>
      <w:lvlJc w:val="right"/>
      <w:pPr>
        <w:ind w:left="2962" w:hanging="420"/>
      </w:pPr>
    </w:lvl>
    <w:lvl w:ilvl="6" w:tentative="0">
      <w:start w:val="1"/>
      <w:numFmt w:val="decimal"/>
      <w:lvlText w:val="%7."/>
      <w:lvlJc w:val="left"/>
      <w:pPr>
        <w:ind w:left="3382" w:hanging="420"/>
      </w:pPr>
    </w:lvl>
    <w:lvl w:ilvl="7" w:tentative="0">
      <w:start w:val="1"/>
      <w:numFmt w:val="lowerLetter"/>
      <w:lvlText w:val="%8)"/>
      <w:lvlJc w:val="left"/>
      <w:pPr>
        <w:ind w:left="3802" w:hanging="420"/>
      </w:pPr>
    </w:lvl>
    <w:lvl w:ilvl="8" w:tentative="0">
      <w:start w:val="1"/>
      <w:numFmt w:val="lowerRoman"/>
      <w:lvlText w:val="%9."/>
      <w:lvlJc w:val="right"/>
      <w:pPr>
        <w:ind w:left="4222" w:hanging="420"/>
      </w:pPr>
    </w:lvl>
  </w:abstractNum>
  <w:abstractNum w:abstractNumId="19">
    <w:nsid w:val="5B2F6EC0"/>
    <w:multiLevelType w:val="multilevel"/>
    <w:tmpl w:val="5B2F6EC0"/>
    <w:lvl w:ilvl="0" w:tentative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0" w:hanging="420"/>
      </w:pPr>
    </w:lvl>
    <w:lvl w:ilvl="2" w:tentative="0">
      <w:start w:val="1"/>
      <w:numFmt w:val="lowerRoman"/>
      <w:lvlText w:val="%3."/>
      <w:lvlJc w:val="right"/>
      <w:pPr>
        <w:ind w:left="1700" w:hanging="420"/>
      </w:pPr>
    </w:lvl>
    <w:lvl w:ilvl="3" w:tentative="0">
      <w:start w:val="1"/>
      <w:numFmt w:val="decimal"/>
      <w:lvlText w:val="%4."/>
      <w:lvlJc w:val="left"/>
      <w:pPr>
        <w:ind w:left="2120" w:hanging="420"/>
      </w:pPr>
    </w:lvl>
    <w:lvl w:ilvl="4" w:tentative="0">
      <w:start w:val="1"/>
      <w:numFmt w:val="lowerLetter"/>
      <w:lvlText w:val="%5)"/>
      <w:lvlJc w:val="left"/>
      <w:pPr>
        <w:ind w:left="2540" w:hanging="420"/>
      </w:pPr>
    </w:lvl>
    <w:lvl w:ilvl="5" w:tentative="0">
      <w:start w:val="1"/>
      <w:numFmt w:val="lowerRoman"/>
      <w:lvlText w:val="%6."/>
      <w:lvlJc w:val="right"/>
      <w:pPr>
        <w:ind w:left="2960" w:hanging="420"/>
      </w:pPr>
    </w:lvl>
    <w:lvl w:ilvl="6" w:tentative="0">
      <w:start w:val="1"/>
      <w:numFmt w:val="decimal"/>
      <w:lvlText w:val="%7."/>
      <w:lvlJc w:val="left"/>
      <w:pPr>
        <w:ind w:left="3380" w:hanging="420"/>
      </w:pPr>
    </w:lvl>
    <w:lvl w:ilvl="7" w:tentative="0">
      <w:start w:val="1"/>
      <w:numFmt w:val="lowerLetter"/>
      <w:lvlText w:val="%8)"/>
      <w:lvlJc w:val="left"/>
      <w:pPr>
        <w:ind w:left="3800" w:hanging="420"/>
      </w:pPr>
    </w:lvl>
    <w:lvl w:ilvl="8" w:tentative="0">
      <w:start w:val="1"/>
      <w:numFmt w:val="lowerRoman"/>
      <w:lvlText w:val="%9."/>
      <w:lvlJc w:val="right"/>
      <w:pPr>
        <w:ind w:left="4220" w:hanging="420"/>
      </w:pPr>
    </w:lvl>
  </w:abstractNum>
  <w:abstractNum w:abstractNumId="20">
    <w:nsid w:val="5C4C21CA"/>
    <w:multiLevelType w:val="multilevel"/>
    <w:tmpl w:val="5C4C21CA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1">
    <w:nsid w:val="5F55F27D"/>
    <w:multiLevelType w:val="multilevel"/>
    <w:tmpl w:val="5F55F27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09A2C0C"/>
    <w:multiLevelType w:val="multilevel"/>
    <w:tmpl w:val="609A2C0C"/>
    <w:lvl w:ilvl="0" w:tentative="0">
      <w:start w:val="1"/>
      <w:numFmt w:val="decimal"/>
      <w:lvlText w:val="5.%1"/>
      <w:lvlJc w:val="left"/>
      <w:pPr>
        <w:ind w:left="562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abstractNum w:abstractNumId="23">
    <w:nsid w:val="727674BD"/>
    <w:multiLevelType w:val="multilevel"/>
    <w:tmpl w:val="727674BD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2A44C88"/>
    <w:multiLevelType w:val="multilevel"/>
    <w:tmpl w:val="72A44C88"/>
    <w:lvl w:ilvl="0" w:tentative="0">
      <w:start w:val="4"/>
      <w:numFmt w:val="decimal"/>
      <w:lvlText w:val="3.%1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4413A92"/>
    <w:multiLevelType w:val="multilevel"/>
    <w:tmpl w:val="74413A92"/>
    <w:lvl w:ilvl="0" w:tentative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2" w:hanging="420"/>
      </w:pPr>
    </w:lvl>
    <w:lvl w:ilvl="2" w:tentative="0">
      <w:start w:val="1"/>
      <w:numFmt w:val="lowerRoman"/>
      <w:lvlText w:val="%3."/>
      <w:lvlJc w:val="right"/>
      <w:pPr>
        <w:ind w:left="1702" w:hanging="420"/>
      </w:pPr>
    </w:lvl>
    <w:lvl w:ilvl="3" w:tentative="0">
      <w:start w:val="1"/>
      <w:numFmt w:val="decimal"/>
      <w:lvlText w:val="%4."/>
      <w:lvlJc w:val="left"/>
      <w:pPr>
        <w:ind w:left="2122" w:hanging="420"/>
      </w:pPr>
    </w:lvl>
    <w:lvl w:ilvl="4" w:tentative="0">
      <w:start w:val="1"/>
      <w:numFmt w:val="lowerLetter"/>
      <w:lvlText w:val="%5)"/>
      <w:lvlJc w:val="left"/>
      <w:pPr>
        <w:ind w:left="2542" w:hanging="420"/>
      </w:pPr>
    </w:lvl>
    <w:lvl w:ilvl="5" w:tentative="0">
      <w:start w:val="1"/>
      <w:numFmt w:val="lowerRoman"/>
      <w:lvlText w:val="%6."/>
      <w:lvlJc w:val="right"/>
      <w:pPr>
        <w:ind w:left="2962" w:hanging="420"/>
      </w:pPr>
    </w:lvl>
    <w:lvl w:ilvl="6" w:tentative="0">
      <w:start w:val="1"/>
      <w:numFmt w:val="decimal"/>
      <w:lvlText w:val="%7."/>
      <w:lvlJc w:val="left"/>
      <w:pPr>
        <w:ind w:left="3382" w:hanging="420"/>
      </w:pPr>
    </w:lvl>
    <w:lvl w:ilvl="7" w:tentative="0">
      <w:start w:val="1"/>
      <w:numFmt w:val="lowerLetter"/>
      <w:lvlText w:val="%8)"/>
      <w:lvlJc w:val="left"/>
      <w:pPr>
        <w:ind w:left="3802" w:hanging="420"/>
      </w:pPr>
    </w:lvl>
    <w:lvl w:ilvl="8" w:tentative="0">
      <w:start w:val="1"/>
      <w:numFmt w:val="lowerRoman"/>
      <w:lvlText w:val="%9."/>
      <w:lvlJc w:val="right"/>
      <w:pPr>
        <w:ind w:left="4222" w:hanging="420"/>
      </w:pPr>
    </w:lvl>
  </w:abstractNum>
  <w:num w:numId="1">
    <w:abstractNumId w:val="20"/>
  </w:num>
  <w:num w:numId="2">
    <w:abstractNumId w:val="2"/>
  </w:num>
  <w:num w:numId="3">
    <w:abstractNumId w:val="15"/>
  </w:num>
  <w:num w:numId="4">
    <w:abstractNumId w:val="6"/>
  </w:num>
  <w:num w:numId="5">
    <w:abstractNumId w:val="5"/>
  </w:num>
  <w:num w:numId="6">
    <w:abstractNumId w:val="13"/>
  </w:num>
  <w:num w:numId="7">
    <w:abstractNumId w:val="19"/>
  </w:num>
  <w:num w:numId="8">
    <w:abstractNumId w:val="4"/>
  </w:num>
  <w:num w:numId="9">
    <w:abstractNumId w:val="14"/>
  </w:num>
  <w:num w:numId="10">
    <w:abstractNumId w:val="25"/>
  </w:num>
  <w:num w:numId="11">
    <w:abstractNumId w:val="18"/>
  </w:num>
  <w:num w:numId="12">
    <w:abstractNumId w:val="16"/>
  </w:num>
  <w:num w:numId="13">
    <w:abstractNumId w:val="1"/>
  </w:num>
  <w:num w:numId="14">
    <w:abstractNumId w:val="8"/>
  </w:num>
  <w:num w:numId="15">
    <w:abstractNumId w:val="0"/>
  </w:num>
  <w:num w:numId="16">
    <w:abstractNumId w:val="21"/>
  </w:num>
  <w:num w:numId="17">
    <w:abstractNumId w:val="11"/>
  </w:num>
  <w:num w:numId="18">
    <w:abstractNumId w:val="24"/>
  </w:num>
  <w:num w:numId="19">
    <w:abstractNumId w:val="12"/>
  </w:num>
  <w:num w:numId="20">
    <w:abstractNumId w:val="9"/>
  </w:num>
  <w:num w:numId="21">
    <w:abstractNumId w:val="3"/>
  </w:num>
  <w:num w:numId="22">
    <w:abstractNumId w:val="17"/>
  </w:num>
  <w:num w:numId="23">
    <w:abstractNumId w:val="7"/>
  </w:num>
  <w:num w:numId="24">
    <w:abstractNumId w:val="10"/>
  </w:num>
  <w:num w:numId="25">
    <w:abstractNumId w:val="23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jMDc3MzZjMjVhZWE5MmQyMDI1MWU1Y2I5MGU0OTcifQ=="/>
  </w:docVars>
  <w:rsids>
    <w:rsidRoot w:val="00210833"/>
    <w:rsid w:val="00210833"/>
    <w:rsid w:val="003F1F65"/>
    <w:rsid w:val="004F44A3"/>
    <w:rsid w:val="04C91092"/>
    <w:rsid w:val="5487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left="142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character" w:styleId="13">
    <w:name w:val="Emphasis"/>
    <w:basedOn w:val="12"/>
    <w:qFormat/>
    <w:uiPriority w:val="20"/>
    <w:rPr>
      <w:b/>
      <w:bCs/>
    </w:rPr>
  </w:style>
  <w:style w:type="character" w:styleId="14">
    <w:name w:val="Hyperlink"/>
    <w:qFormat/>
    <w:uiPriority w:val="99"/>
    <w:rPr>
      <w:color w:val="0000FF"/>
      <w:u w:val="single"/>
    </w:rPr>
  </w:style>
  <w:style w:type="paragraph" w:customStyle="1" w:styleId="15">
    <w:name w:val="1"/>
    <w:basedOn w:val="1"/>
    <w:qFormat/>
    <w:uiPriority w:val="0"/>
    <w:pPr>
      <w:ind w:firstLine="0" w:firstLineChars="0"/>
    </w:pPr>
  </w:style>
  <w:style w:type="paragraph" w:customStyle="1" w:styleId="1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7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1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9">
    <w:name w:val="List Paragraph"/>
    <w:basedOn w:val="1"/>
    <w:qFormat/>
    <w:uiPriority w:val="34"/>
  </w:style>
  <w:style w:type="paragraph" w:customStyle="1" w:styleId="20">
    <w:name w:val="列出段落1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numbering" Target="numbering.xml"/><Relationship Id="rId9" Type="http://schemas.openxmlformats.org/officeDocument/2006/relationships/footer" Target="footer2.xml"/><Relationship Id="rId89" Type="http://schemas.openxmlformats.org/officeDocument/2006/relationships/customXml" Target="../customXml/item1.xml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4650</Words>
  <Characters>5138</Characters>
  <Lines>83</Lines>
  <Paragraphs>23</Paragraphs>
  <TotalTime>0</TotalTime>
  <ScaleCrop>false</ScaleCrop>
  <LinksUpToDate>false</LinksUpToDate>
  <CharactersWithSpaces>5544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2022-08-03T01:27:00Z</dcterms:created>
  <dc:creator>古直</dc:creator>
  <cp:lastModifiedBy>Administrator</cp:lastModifiedBy>
  <dcterms:modified xsi:type="dcterms:W3CDTF">2023-03-02T14:00:52Z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387E08BF5DA94DC7884669141B6953DA</vt:lpwstr>
  </property>
</Properties>
</file>