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9083B">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0000FF"/>
          <w:sz w:val="36"/>
          <w:szCs w:val="36"/>
          <w:u w:val="single"/>
          <w:lang w:val="en-US" w:eastAsia="zh-CN"/>
          <w14:shadow w14:blurRad="50800" w14:dist="38100" w14:dir="10800000" w14:sx="100000" w14:sy="100000" w14:kx="0" w14:ky="0" w14:algn="r">
            <w14:srgbClr w14:val="000000">
              <w14:alpha w14:val="60000"/>
            </w14:srgbClr>
          </w14:shadow>
        </w:rPr>
      </w:pPr>
      <w:bookmarkStart w:id="0" w:name="OLE_LINK4"/>
      <w:bookmarkStart w:id="1" w:name="OLE_LINK1"/>
      <w:bookmarkStart w:id="2" w:name="OLE_LINK2"/>
      <w:r>
        <w:rPr>
          <w:rFonts w:hint="eastAsia" w:asciiTheme="minorEastAsia" w:hAnsiTheme="minorEastAsia" w:eastAsiaTheme="minorEastAsia" w:cstheme="minorEastAsia"/>
          <w:b/>
          <w:color w:val="0000FF"/>
          <w:sz w:val="36"/>
          <w:szCs w:val="36"/>
          <w:u w:val="single"/>
          <w:lang w:val="en-US" w:eastAsia="zh-CN"/>
          <w14:shadow w14:blurRad="50800" w14:dist="38100" w14:dir="10800000" w14:sx="100000" w14:sy="100000" w14:kx="0" w14:ky="0" w14:algn="r">
            <w14:srgbClr w14:val="000000">
              <w14:alpha w14:val="60000"/>
            </w14:srgbClr>
          </w14:shadow>
        </w:rPr>
        <w:t>吉林省一体化平台远程异地评标</w:t>
      </w:r>
    </w:p>
    <w:p w14:paraId="4DEAAD15">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0000FF"/>
          <w:sz w:val="36"/>
          <w:szCs w:val="36"/>
          <w:u w:val="single"/>
          <w:lang w:val="en-US" w:eastAsia="zh-CN"/>
          <w14:shadow w14:blurRad="50800" w14:dist="38100" w14:dir="10800000" w14:sx="100000" w14:sy="100000" w14:kx="0" w14:ky="0" w14:algn="r">
            <w14:srgbClr w14:val="000000">
              <w14:alpha w14:val="60000"/>
            </w14:srgbClr>
          </w14:shadow>
        </w:rPr>
      </w:pPr>
      <w:r>
        <w:rPr>
          <w:rFonts w:hint="eastAsia" w:asciiTheme="minorEastAsia" w:hAnsiTheme="minorEastAsia" w:eastAsiaTheme="minorEastAsia" w:cstheme="minorEastAsia"/>
          <w:b/>
          <w:color w:val="0000FF"/>
          <w:sz w:val="36"/>
          <w:szCs w:val="36"/>
          <w:u w:val="single"/>
          <w:lang w:val="en-US" w:eastAsia="zh-CN"/>
          <w14:shadow w14:blurRad="50800" w14:dist="38100" w14:dir="10800000" w14:sx="100000" w14:sy="100000" w14:kx="0" w14:ky="0" w14:algn="r">
            <w14:srgbClr w14:val="000000">
              <w14:alpha w14:val="60000"/>
            </w14:srgbClr>
          </w14:shadow>
        </w:rPr>
        <w:t>工作人员操作手册</w:t>
      </w:r>
    </w:p>
    <w:p w14:paraId="72881522">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0000FF"/>
          <w:sz w:val="36"/>
          <w:szCs w:val="36"/>
          <w:lang w:val="en-US" w:eastAsia="zh-CN"/>
        </w:rPr>
      </w:pPr>
    </w:p>
    <w:p w14:paraId="14B6F6CF">
      <w:pPr>
        <w:pStyle w:val="11"/>
        <w:tabs>
          <w:tab w:val="right" w:leader="dot" w:pos="10466"/>
        </w:tabs>
      </w:pPr>
      <w:r>
        <w:rPr>
          <w:rFonts w:hint="eastAsia" w:asciiTheme="minorEastAsia" w:hAnsiTheme="minorEastAsia" w:eastAsiaTheme="minorEastAsia" w:cstheme="minorEastAsia"/>
          <w:b/>
          <w:sz w:val="24"/>
          <w:szCs w:val="24"/>
          <w:lang w:val="en-US" w:eastAsia="zh-CN"/>
        </w:rPr>
        <w:fldChar w:fldCharType="begin"/>
      </w:r>
      <w:r>
        <w:rPr>
          <w:rFonts w:hint="eastAsia" w:asciiTheme="minorEastAsia" w:hAnsiTheme="minorEastAsia" w:eastAsiaTheme="minorEastAsia" w:cstheme="minorEastAsia"/>
          <w:b/>
          <w:sz w:val="24"/>
          <w:szCs w:val="24"/>
          <w:lang w:val="en-US" w:eastAsia="zh-CN"/>
        </w:rPr>
        <w:instrText xml:space="preserve">TOC \o "1-4" \h \u </w:instrText>
      </w:r>
      <w:r>
        <w:rPr>
          <w:rFonts w:hint="eastAsia" w:asciiTheme="minorEastAsia" w:hAnsiTheme="minorEastAsia" w:eastAsiaTheme="minorEastAsia" w:cstheme="minorEastAsia"/>
          <w:b/>
          <w:sz w:val="24"/>
          <w:szCs w:val="24"/>
          <w:lang w:val="en-US" w:eastAsia="zh-CN"/>
        </w:rPr>
        <w:fldChar w:fldCharType="separate"/>
      </w: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_Toc28539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一、 工作人员登录系统</w:t>
      </w:r>
      <w:r>
        <w:tab/>
      </w:r>
      <w:r>
        <w:fldChar w:fldCharType="begin"/>
      </w:r>
      <w:r>
        <w:instrText xml:space="preserve"> PAGEREF _Toc28539 \h </w:instrText>
      </w:r>
      <w:r>
        <w:fldChar w:fldCharType="separate"/>
      </w:r>
      <w:r>
        <w:t>2</w:t>
      </w:r>
      <w:r>
        <w:fldChar w:fldCharType="end"/>
      </w:r>
      <w:r>
        <w:rPr>
          <w:rFonts w:hint="eastAsia" w:asciiTheme="minorEastAsia" w:hAnsiTheme="minorEastAsia" w:eastAsiaTheme="minorEastAsia" w:cstheme="minorEastAsia"/>
          <w:szCs w:val="24"/>
          <w:lang w:val="en-US" w:eastAsia="zh-CN"/>
        </w:rPr>
        <w:fldChar w:fldCharType="end"/>
      </w:r>
    </w:p>
    <w:p w14:paraId="0F8EE9A9">
      <w:pPr>
        <w:pStyle w:val="11"/>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_Toc5892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二、主场工作人员操作指南</w:t>
      </w:r>
      <w:r>
        <w:tab/>
      </w:r>
      <w:r>
        <w:fldChar w:fldCharType="begin"/>
      </w:r>
      <w:r>
        <w:instrText xml:space="preserve"> PAGEREF _Toc5892 \h </w:instrText>
      </w:r>
      <w:r>
        <w:fldChar w:fldCharType="separate"/>
      </w:r>
      <w:r>
        <w:t>3</w:t>
      </w:r>
      <w:r>
        <w:fldChar w:fldCharType="end"/>
      </w:r>
      <w:r>
        <w:rPr>
          <w:rFonts w:hint="eastAsia" w:asciiTheme="minorEastAsia" w:hAnsiTheme="minorEastAsia" w:eastAsiaTheme="minorEastAsia" w:cstheme="minorEastAsia"/>
          <w:szCs w:val="24"/>
          <w:lang w:val="en-US" w:eastAsia="zh-CN"/>
        </w:rPr>
        <w:fldChar w:fldCharType="end"/>
      </w:r>
    </w:p>
    <w:p w14:paraId="70176376">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_Toc2958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1.场地预约</w:t>
      </w:r>
      <w:r>
        <w:rPr>
          <w:rFonts w:hint="eastAsia" w:asciiTheme="minorEastAsia" w:hAnsiTheme="minorEastAsia" w:cstheme="minorEastAsia"/>
          <w:szCs w:val="24"/>
          <w:lang w:val="en-US" w:eastAsia="zh-CN"/>
        </w:rPr>
        <w:t>审核</w:t>
      </w:r>
      <w:r>
        <w:tab/>
      </w:r>
      <w:r>
        <w:fldChar w:fldCharType="begin"/>
      </w:r>
      <w:r>
        <w:instrText xml:space="preserve"> PAGEREF _Toc2958 \h </w:instrText>
      </w:r>
      <w:r>
        <w:fldChar w:fldCharType="separate"/>
      </w:r>
      <w:r>
        <w:t>3</w:t>
      </w:r>
      <w:r>
        <w:fldChar w:fldCharType="end"/>
      </w:r>
      <w:r>
        <w:rPr>
          <w:rFonts w:hint="eastAsia" w:asciiTheme="minorEastAsia" w:hAnsiTheme="minorEastAsia" w:eastAsiaTheme="minorEastAsia" w:cstheme="minorEastAsia"/>
          <w:szCs w:val="24"/>
          <w:lang w:val="en-US" w:eastAsia="zh-CN"/>
        </w:rPr>
        <w:fldChar w:fldCharType="end"/>
      </w:r>
    </w:p>
    <w:p w14:paraId="4784DFAA">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_Toc3824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2.选择副场操作指南</w:t>
      </w:r>
      <w:r>
        <w:tab/>
      </w:r>
      <w:r>
        <w:fldChar w:fldCharType="begin"/>
      </w:r>
      <w:r>
        <w:instrText xml:space="preserve"> PAGEREF _Toc3824 \h </w:instrText>
      </w:r>
      <w:r>
        <w:fldChar w:fldCharType="separate"/>
      </w:r>
      <w:r>
        <w:t>4</w:t>
      </w:r>
      <w:r>
        <w:fldChar w:fldCharType="end"/>
      </w:r>
      <w:r>
        <w:rPr>
          <w:rFonts w:hint="eastAsia" w:asciiTheme="minorEastAsia" w:hAnsiTheme="minorEastAsia" w:eastAsiaTheme="minorEastAsia" w:cstheme="minorEastAsia"/>
          <w:szCs w:val="24"/>
          <w:lang w:val="en-US" w:eastAsia="zh-CN"/>
        </w:rPr>
        <w:fldChar w:fldCharType="end"/>
      </w:r>
    </w:p>
    <w:p w14:paraId="551C704F">
      <w:pPr>
        <w:pStyle w:val="8"/>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_Toc14974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2.1、随机抽取副场</w:t>
      </w:r>
      <w:r>
        <w:tab/>
      </w:r>
      <w:r>
        <w:fldChar w:fldCharType="begin"/>
      </w:r>
      <w:r>
        <w:instrText xml:space="preserve"> PAGEREF _Toc14974 \h </w:instrText>
      </w:r>
      <w:r>
        <w:fldChar w:fldCharType="separate"/>
      </w:r>
      <w:r>
        <w:t>5</w:t>
      </w:r>
      <w:r>
        <w:fldChar w:fldCharType="end"/>
      </w:r>
      <w:r>
        <w:rPr>
          <w:rFonts w:hint="eastAsia" w:asciiTheme="minorEastAsia" w:hAnsiTheme="minorEastAsia" w:eastAsiaTheme="minorEastAsia" w:cstheme="minorEastAsia"/>
          <w:szCs w:val="24"/>
          <w:lang w:val="en-US" w:eastAsia="zh-CN"/>
        </w:rPr>
        <w:fldChar w:fldCharType="end"/>
      </w:r>
    </w:p>
    <w:p w14:paraId="4ACF8C39">
      <w:pPr>
        <w:pStyle w:val="12"/>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_Toc19620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2.1.1、随机抽取具体操作</w:t>
      </w:r>
      <w:r>
        <w:tab/>
      </w:r>
      <w:r>
        <w:fldChar w:fldCharType="begin"/>
      </w:r>
      <w:r>
        <w:instrText xml:space="preserve"> PAGEREF _Toc19620 \h </w:instrText>
      </w:r>
      <w:r>
        <w:fldChar w:fldCharType="separate"/>
      </w:r>
      <w:r>
        <w:t>5</w:t>
      </w:r>
      <w:r>
        <w:fldChar w:fldCharType="end"/>
      </w:r>
      <w:r>
        <w:rPr>
          <w:rFonts w:hint="eastAsia" w:asciiTheme="minorEastAsia" w:hAnsiTheme="minorEastAsia" w:eastAsiaTheme="minorEastAsia" w:cstheme="minorEastAsia"/>
          <w:szCs w:val="24"/>
          <w:lang w:val="en-US" w:eastAsia="zh-CN"/>
        </w:rPr>
        <w:fldChar w:fldCharType="end"/>
      </w:r>
    </w:p>
    <w:p w14:paraId="59AE16BF">
      <w:pPr>
        <w:pStyle w:val="12"/>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_Toc30189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2.1.2、查看副场抽取情况</w:t>
      </w:r>
      <w:r>
        <w:tab/>
      </w:r>
      <w:r>
        <w:fldChar w:fldCharType="begin"/>
      </w:r>
      <w:r>
        <w:instrText xml:space="preserve"> PAGEREF _Toc30189 \h </w:instrText>
      </w:r>
      <w:r>
        <w:fldChar w:fldCharType="separate"/>
      </w:r>
      <w:r>
        <w:t>7</w:t>
      </w:r>
      <w:r>
        <w:fldChar w:fldCharType="end"/>
      </w:r>
      <w:r>
        <w:rPr>
          <w:rFonts w:hint="eastAsia" w:asciiTheme="minorEastAsia" w:hAnsiTheme="minorEastAsia" w:eastAsiaTheme="minorEastAsia" w:cstheme="minorEastAsia"/>
          <w:szCs w:val="24"/>
          <w:lang w:val="en-US" w:eastAsia="zh-CN"/>
        </w:rPr>
        <w:fldChar w:fldCharType="end"/>
      </w:r>
    </w:p>
    <w:p w14:paraId="1BF91264">
      <w:pPr>
        <w:pStyle w:val="12"/>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_Toc16468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2.1.3、补抽副场</w:t>
      </w:r>
      <w:r>
        <w:tab/>
      </w:r>
      <w:r>
        <w:fldChar w:fldCharType="begin"/>
      </w:r>
      <w:r>
        <w:instrText xml:space="preserve"> PAGEREF _Toc16468 \h </w:instrText>
      </w:r>
      <w:r>
        <w:fldChar w:fldCharType="separate"/>
      </w:r>
      <w:r>
        <w:t>8</w:t>
      </w:r>
      <w:r>
        <w:fldChar w:fldCharType="end"/>
      </w:r>
      <w:r>
        <w:rPr>
          <w:rFonts w:hint="eastAsia" w:asciiTheme="minorEastAsia" w:hAnsiTheme="minorEastAsia" w:eastAsiaTheme="minorEastAsia" w:cstheme="minorEastAsia"/>
          <w:szCs w:val="24"/>
          <w:lang w:val="en-US" w:eastAsia="zh-CN"/>
        </w:rPr>
        <w:fldChar w:fldCharType="end"/>
      </w:r>
    </w:p>
    <w:p w14:paraId="39D2C9D2">
      <w:pPr>
        <w:pStyle w:val="12"/>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_Toc7694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2.1.4、项目组建</w:t>
      </w:r>
      <w:r>
        <w:tab/>
      </w:r>
      <w:r>
        <w:fldChar w:fldCharType="begin"/>
      </w:r>
      <w:r>
        <w:instrText xml:space="preserve"> PAGEREF _Toc7694 \h </w:instrText>
      </w:r>
      <w:r>
        <w:fldChar w:fldCharType="separate"/>
      </w:r>
      <w:r>
        <w:t>9</w:t>
      </w:r>
      <w:r>
        <w:fldChar w:fldCharType="end"/>
      </w:r>
      <w:r>
        <w:rPr>
          <w:rFonts w:hint="eastAsia" w:asciiTheme="minorEastAsia" w:hAnsiTheme="minorEastAsia" w:eastAsiaTheme="minorEastAsia" w:cstheme="minorEastAsia"/>
          <w:szCs w:val="24"/>
          <w:lang w:val="en-US" w:eastAsia="zh-CN"/>
        </w:rPr>
        <w:fldChar w:fldCharType="end"/>
      </w:r>
    </w:p>
    <w:p w14:paraId="52FB4109">
      <w:pPr>
        <w:pStyle w:val="12"/>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_Toc24321 </w:instrText>
      </w:r>
      <w:r>
        <w:rPr>
          <w:rFonts w:hint="eastAsia" w:asciiTheme="minorEastAsia" w:hAnsiTheme="minorEastAsia" w:eastAsiaTheme="minorEastAsia" w:cstheme="minorEastAsia"/>
          <w:szCs w:val="24"/>
          <w:lang w:val="en-US" w:eastAsia="zh-CN"/>
        </w:rPr>
        <w:fldChar w:fldCharType="separate"/>
      </w:r>
      <w:r>
        <w:rPr>
          <w:rFonts w:hint="eastAsia"/>
          <w:lang w:val="en-US" w:eastAsia="zh-CN"/>
        </w:rPr>
        <w:t>2.1.5、补推专家抽取申请</w:t>
      </w:r>
      <w:r>
        <w:tab/>
      </w:r>
      <w:r>
        <w:fldChar w:fldCharType="begin"/>
      </w:r>
      <w:r>
        <w:instrText xml:space="preserve"> PAGEREF _Toc24321 \h </w:instrText>
      </w:r>
      <w:r>
        <w:fldChar w:fldCharType="separate"/>
      </w:r>
      <w:r>
        <w:t>10</w:t>
      </w:r>
      <w:r>
        <w:fldChar w:fldCharType="end"/>
      </w:r>
      <w:r>
        <w:rPr>
          <w:rFonts w:hint="eastAsia" w:asciiTheme="minorEastAsia" w:hAnsiTheme="minorEastAsia" w:eastAsiaTheme="minorEastAsia" w:cstheme="minorEastAsia"/>
          <w:szCs w:val="24"/>
          <w:lang w:val="en-US" w:eastAsia="zh-CN"/>
        </w:rPr>
        <w:fldChar w:fldCharType="end"/>
      </w:r>
    </w:p>
    <w:p w14:paraId="462ED9B9">
      <w:pPr>
        <w:pStyle w:val="12"/>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_Toc6899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2.1.5.主场专家抽取</w:t>
      </w:r>
      <w:r>
        <w:rPr>
          <w:rFonts w:hint="eastAsia" w:asciiTheme="minorEastAsia" w:hAnsiTheme="minorEastAsia" w:cstheme="minorEastAsia"/>
          <w:szCs w:val="24"/>
          <w:lang w:val="en-US" w:eastAsia="zh-CN"/>
        </w:rPr>
        <w:t>并同步至易彩虹系统</w:t>
      </w:r>
      <w:r>
        <w:tab/>
      </w:r>
      <w:r>
        <w:fldChar w:fldCharType="begin"/>
      </w:r>
      <w:r>
        <w:instrText xml:space="preserve"> PAGEREF _Toc6899 \h </w:instrText>
      </w:r>
      <w:r>
        <w:fldChar w:fldCharType="separate"/>
      </w:r>
      <w:r>
        <w:t>10</w:t>
      </w:r>
      <w:r>
        <w:fldChar w:fldCharType="end"/>
      </w:r>
      <w:r>
        <w:rPr>
          <w:rFonts w:hint="eastAsia" w:asciiTheme="minorEastAsia" w:hAnsiTheme="minorEastAsia" w:eastAsiaTheme="minorEastAsia" w:cstheme="minorEastAsia"/>
          <w:szCs w:val="24"/>
          <w:lang w:val="en-US" w:eastAsia="zh-CN"/>
        </w:rPr>
        <w:fldChar w:fldCharType="end"/>
      </w:r>
    </w:p>
    <w:p w14:paraId="6E061E2F">
      <w:pPr>
        <w:pStyle w:val="8"/>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_Toc811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2.2指定副场</w:t>
      </w:r>
      <w:r>
        <w:tab/>
      </w:r>
      <w:r>
        <w:fldChar w:fldCharType="begin"/>
      </w:r>
      <w:r>
        <w:instrText xml:space="preserve"> PAGEREF _Toc811 \h </w:instrText>
      </w:r>
      <w:r>
        <w:fldChar w:fldCharType="separate"/>
      </w:r>
      <w:r>
        <w:t>12</w:t>
      </w:r>
      <w:r>
        <w:fldChar w:fldCharType="end"/>
      </w:r>
      <w:r>
        <w:rPr>
          <w:rFonts w:hint="eastAsia" w:asciiTheme="minorEastAsia" w:hAnsiTheme="minorEastAsia" w:eastAsiaTheme="minorEastAsia" w:cstheme="minorEastAsia"/>
          <w:szCs w:val="24"/>
          <w:lang w:val="en-US" w:eastAsia="zh-CN"/>
        </w:rPr>
        <w:fldChar w:fldCharType="end"/>
      </w:r>
    </w:p>
    <w:p w14:paraId="35107B40">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_Toc27913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3.主场发函</w:t>
      </w:r>
      <w:r>
        <w:tab/>
      </w:r>
      <w:r>
        <w:fldChar w:fldCharType="begin"/>
      </w:r>
      <w:r>
        <w:instrText xml:space="preserve"> PAGEREF _Toc27913 \h </w:instrText>
      </w:r>
      <w:r>
        <w:fldChar w:fldCharType="separate"/>
      </w:r>
      <w:r>
        <w:t>15</w:t>
      </w:r>
      <w:r>
        <w:fldChar w:fldCharType="end"/>
      </w:r>
      <w:r>
        <w:rPr>
          <w:rFonts w:hint="eastAsia" w:asciiTheme="minorEastAsia" w:hAnsiTheme="minorEastAsia" w:eastAsiaTheme="minorEastAsia" w:cstheme="minorEastAsia"/>
          <w:szCs w:val="24"/>
          <w:lang w:val="en-US" w:eastAsia="zh-CN"/>
        </w:rPr>
        <w:fldChar w:fldCharType="end"/>
      </w:r>
    </w:p>
    <w:p w14:paraId="029783B6">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_Toc9164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4.主场登记订餐信息</w:t>
      </w:r>
      <w:r>
        <w:tab/>
      </w:r>
      <w:r>
        <w:fldChar w:fldCharType="begin"/>
      </w:r>
      <w:r>
        <w:instrText xml:space="preserve"> PAGEREF _Toc9164 \h </w:instrText>
      </w:r>
      <w:r>
        <w:fldChar w:fldCharType="separate"/>
      </w:r>
      <w:r>
        <w:t>16</w:t>
      </w:r>
      <w:r>
        <w:fldChar w:fldCharType="end"/>
      </w:r>
      <w:r>
        <w:rPr>
          <w:rFonts w:hint="eastAsia" w:asciiTheme="minorEastAsia" w:hAnsiTheme="minorEastAsia" w:eastAsiaTheme="minorEastAsia" w:cstheme="minorEastAsia"/>
          <w:szCs w:val="24"/>
          <w:lang w:val="en-US" w:eastAsia="zh-CN"/>
        </w:rPr>
        <w:fldChar w:fldCharType="end"/>
      </w:r>
    </w:p>
    <w:p w14:paraId="5F873461">
      <w:pPr>
        <w:pStyle w:val="11"/>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_Toc20123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三、副场工作人员操作指南</w:t>
      </w:r>
      <w:r>
        <w:tab/>
      </w:r>
      <w:r>
        <w:fldChar w:fldCharType="begin"/>
      </w:r>
      <w:r>
        <w:instrText xml:space="preserve"> PAGEREF _Toc20123 \h </w:instrText>
      </w:r>
      <w:r>
        <w:fldChar w:fldCharType="separate"/>
      </w:r>
      <w:r>
        <w:t>16</w:t>
      </w:r>
      <w:r>
        <w:fldChar w:fldCharType="end"/>
      </w:r>
      <w:r>
        <w:rPr>
          <w:rFonts w:hint="eastAsia" w:asciiTheme="minorEastAsia" w:hAnsiTheme="minorEastAsia" w:eastAsiaTheme="minorEastAsia" w:cstheme="minorEastAsia"/>
          <w:szCs w:val="24"/>
          <w:lang w:val="en-US" w:eastAsia="zh-CN"/>
        </w:rPr>
        <w:fldChar w:fldCharType="end"/>
      </w:r>
    </w:p>
    <w:p w14:paraId="14B35365">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_Toc7256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1.查看副场项目</w:t>
      </w:r>
      <w:r>
        <w:tab/>
      </w:r>
      <w:r>
        <w:fldChar w:fldCharType="begin"/>
      </w:r>
      <w:r>
        <w:instrText xml:space="preserve"> PAGEREF _Toc7256 \h </w:instrText>
      </w:r>
      <w:r>
        <w:fldChar w:fldCharType="separate"/>
      </w:r>
      <w:r>
        <w:t>16</w:t>
      </w:r>
      <w:r>
        <w:fldChar w:fldCharType="end"/>
      </w:r>
      <w:r>
        <w:rPr>
          <w:rFonts w:hint="eastAsia" w:asciiTheme="minorEastAsia" w:hAnsiTheme="minorEastAsia" w:eastAsiaTheme="minorEastAsia" w:cstheme="minorEastAsia"/>
          <w:szCs w:val="24"/>
          <w:lang w:val="en-US" w:eastAsia="zh-CN"/>
        </w:rPr>
        <w:fldChar w:fldCharType="end"/>
      </w:r>
    </w:p>
    <w:p w14:paraId="2353C626">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_Toc22105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2. 副场抽取确认</w:t>
      </w:r>
      <w:r>
        <w:tab/>
      </w:r>
      <w:r>
        <w:fldChar w:fldCharType="begin"/>
      </w:r>
      <w:r>
        <w:instrText xml:space="preserve"> PAGEREF _Toc22105 \h </w:instrText>
      </w:r>
      <w:r>
        <w:fldChar w:fldCharType="separate"/>
      </w:r>
      <w:r>
        <w:t>17</w:t>
      </w:r>
      <w:r>
        <w:fldChar w:fldCharType="end"/>
      </w:r>
      <w:r>
        <w:rPr>
          <w:rFonts w:hint="eastAsia" w:asciiTheme="minorEastAsia" w:hAnsiTheme="minorEastAsia" w:eastAsiaTheme="minorEastAsia" w:cstheme="minorEastAsia"/>
          <w:szCs w:val="24"/>
          <w:lang w:val="en-US" w:eastAsia="zh-CN"/>
        </w:rPr>
        <w:fldChar w:fldCharType="end"/>
      </w:r>
    </w:p>
    <w:p w14:paraId="51D94E77">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_Toc21914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3.副场接收主场函件</w:t>
      </w:r>
      <w:r>
        <w:tab/>
      </w:r>
      <w:r>
        <w:fldChar w:fldCharType="begin"/>
      </w:r>
      <w:r>
        <w:instrText xml:space="preserve"> PAGEREF _Toc21914 \h </w:instrText>
      </w:r>
      <w:r>
        <w:fldChar w:fldCharType="separate"/>
      </w:r>
      <w:r>
        <w:t>18</w:t>
      </w:r>
      <w:r>
        <w:fldChar w:fldCharType="end"/>
      </w:r>
      <w:r>
        <w:rPr>
          <w:rFonts w:hint="eastAsia" w:asciiTheme="minorEastAsia" w:hAnsiTheme="minorEastAsia" w:eastAsiaTheme="minorEastAsia" w:cstheme="minorEastAsia"/>
          <w:szCs w:val="24"/>
          <w:lang w:val="en-US" w:eastAsia="zh-CN"/>
        </w:rPr>
        <w:fldChar w:fldCharType="end"/>
      </w:r>
    </w:p>
    <w:p w14:paraId="48144020">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_Toc19258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4.副场评委</w:t>
      </w:r>
      <w:r>
        <w:rPr>
          <w:rFonts w:hint="eastAsia" w:asciiTheme="minorEastAsia" w:hAnsiTheme="minorEastAsia" w:cstheme="minorEastAsia"/>
          <w:szCs w:val="24"/>
          <w:lang w:val="en-US" w:eastAsia="zh-CN"/>
        </w:rPr>
        <w:t>抽取同步</w:t>
      </w:r>
      <w:r>
        <w:tab/>
      </w:r>
      <w:r>
        <w:fldChar w:fldCharType="begin"/>
      </w:r>
      <w:r>
        <w:instrText xml:space="preserve"> PAGEREF _Toc19258 \h </w:instrText>
      </w:r>
      <w:r>
        <w:fldChar w:fldCharType="separate"/>
      </w:r>
      <w:r>
        <w:t>19</w:t>
      </w:r>
      <w:r>
        <w:fldChar w:fldCharType="end"/>
      </w:r>
      <w:r>
        <w:rPr>
          <w:rFonts w:hint="eastAsia" w:asciiTheme="minorEastAsia" w:hAnsiTheme="minorEastAsia" w:eastAsiaTheme="minorEastAsia" w:cstheme="minorEastAsia"/>
          <w:szCs w:val="24"/>
          <w:lang w:val="en-US" w:eastAsia="zh-CN"/>
        </w:rPr>
        <w:fldChar w:fldCharType="end"/>
      </w:r>
    </w:p>
    <w:p w14:paraId="01BB5EBF">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_Toc24231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bCs/>
          <w:kern w:val="2"/>
          <w:szCs w:val="24"/>
          <w:lang w:val="en-US" w:eastAsia="zh-CN" w:bidi="ar-SA"/>
        </w:rPr>
        <w:t>5.查看主场订餐信息</w:t>
      </w:r>
      <w:r>
        <w:tab/>
      </w:r>
      <w:r>
        <w:fldChar w:fldCharType="begin"/>
      </w:r>
      <w:r>
        <w:instrText xml:space="preserve"> PAGEREF _Toc24231 \h </w:instrText>
      </w:r>
      <w:r>
        <w:fldChar w:fldCharType="separate"/>
      </w:r>
      <w:r>
        <w:t>21</w:t>
      </w:r>
      <w:r>
        <w:fldChar w:fldCharType="end"/>
      </w:r>
      <w:r>
        <w:rPr>
          <w:rFonts w:hint="eastAsia" w:asciiTheme="minorEastAsia" w:hAnsiTheme="minorEastAsia" w:eastAsiaTheme="minorEastAsia" w:cstheme="minorEastAsia"/>
          <w:szCs w:val="24"/>
          <w:lang w:val="en-US" w:eastAsia="zh-CN"/>
        </w:rPr>
        <w:fldChar w:fldCharType="end"/>
      </w:r>
    </w:p>
    <w:p w14:paraId="398D8920">
      <w:pPr>
        <w:pStyle w:val="11"/>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_Toc7206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bCs/>
          <w:kern w:val="44"/>
          <w:szCs w:val="24"/>
          <w:lang w:val="en-US" w:eastAsia="zh-CN" w:bidi="ar-SA"/>
        </w:rPr>
        <w:t>四、个人中心功能介绍</w:t>
      </w:r>
      <w:r>
        <w:tab/>
      </w:r>
      <w:r>
        <w:fldChar w:fldCharType="begin"/>
      </w:r>
      <w:r>
        <w:instrText xml:space="preserve"> PAGEREF _Toc7206 \h </w:instrText>
      </w:r>
      <w:r>
        <w:fldChar w:fldCharType="separate"/>
      </w:r>
      <w:r>
        <w:t>21</w:t>
      </w:r>
      <w:r>
        <w:fldChar w:fldCharType="end"/>
      </w:r>
      <w:r>
        <w:rPr>
          <w:rFonts w:hint="eastAsia" w:asciiTheme="minorEastAsia" w:hAnsiTheme="minorEastAsia" w:eastAsiaTheme="minorEastAsia" w:cstheme="minorEastAsia"/>
          <w:szCs w:val="24"/>
          <w:lang w:val="en-US" w:eastAsia="zh-CN"/>
        </w:rPr>
        <w:fldChar w:fldCharType="end"/>
      </w:r>
    </w:p>
    <w:p w14:paraId="30CF6A7E">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_Toc15937 </w:instrText>
      </w:r>
      <w:r>
        <w:rPr>
          <w:rFonts w:hint="eastAsia" w:asciiTheme="minorEastAsia" w:hAnsiTheme="minorEastAsia" w:eastAsiaTheme="minorEastAsia" w:cstheme="minorEastAsia"/>
          <w:szCs w:val="24"/>
          <w:lang w:val="en-US" w:eastAsia="zh-CN"/>
        </w:rPr>
        <w:fldChar w:fldCharType="separate"/>
      </w:r>
      <w:r>
        <w:rPr>
          <w:rFonts w:hint="default" w:asciiTheme="minorEastAsia" w:hAnsiTheme="minorEastAsia" w:eastAsiaTheme="minorEastAsia" w:cstheme="minorEastAsia"/>
          <w:szCs w:val="24"/>
          <w:lang w:val="en-US" w:eastAsia="zh-CN"/>
        </w:rPr>
        <w:t xml:space="preserve">1. </w:t>
      </w:r>
      <w:r>
        <w:rPr>
          <w:rFonts w:hint="eastAsia" w:asciiTheme="minorEastAsia" w:hAnsiTheme="minorEastAsia" w:eastAsiaTheme="minorEastAsia" w:cstheme="minorEastAsia"/>
          <w:szCs w:val="24"/>
          <w:lang w:val="en-US" w:eastAsia="zh-CN"/>
        </w:rPr>
        <w:t>用户关注</w:t>
      </w:r>
      <w:r>
        <w:tab/>
      </w:r>
      <w:r>
        <w:fldChar w:fldCharType="begin"/>
      </w:r>
      <w:r>
        <w:instrText xml:space="preserve"> PAGEREF _Toc15937 \h </w:instrText>
      </w:r>
      <w:r>
        <w:fldChar w:fldCharType="separate"/>
      </w:r>
      <w:r>
        <w:t>21</w:t>
      </w:r>
      <w:r>
        <w:fldChar w:fldCharType="end"/>
      </w:r>
      <w:r>
        <w:rPr>
          <w:rFonts w:hint="eastAsia" w:asciiTheme="minorEastAsia" w:hAnsiTheme="minorEastAsia" w:eastAsiaTheme="minorEastAsia" w:cstheme="minorEastAsia"/>
          <w:szCs w:val="24"/>
          <w:lang w:val="en-US" w:eastAsia="zh-CN"/>
        </w:rPr>
        <w:fldChar w:fldCharType="end"/>
      </w:r>
    </w:p>
    <w:p w14:paraId="07AF5949">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_Toc16982 </w:instrText>
      </w:r>
      <w:r>
        <w:rPr>
          <w:rFonts w:hint="eastAsia" w:asciiTheme="minorEastAsia" w:hAnsiTheme="minorEastAsia" w:eastAsiaTheme="minorEastAsia" w:cstheme="minorEastAsia"/>
          <w:szCs w:val="24"/>
          <w:lang w:val="en-US" w:eastAsia="zh-CN"/>
        </w:rPr>
        <w:fldChar w:fldCharType="separate"/>
      </w:r>
      <w:r>
        <w:rPr>
          <w:rFonts w:hint="default" w:asciiTheme="minorEastAsia" w:hAnsiTheme="minorEastAsia" w:eastAsiaTheme="minorEastAsia" w:cstheme="minorEastAsia"/>
          <w:szCs w:val="24"/>
          <w:lang w:val="en-US" w:eastAsia="zh-CN"/>
        </w:rPr>
        <w:t xml:space="preserve">2. </w:t>
      </w:r>
      <w:r>
        <w:rPr>
          <w:rFonts w:hint="eastAsia" w:asciiTheme="minorEastAsia" w:hAnsiTheme="minorEastAsia" w:eastAsiaTheme="minorEastAsia" w:cstheme="minorEastAsia"/>
          <w:szCs w:val="24"/>
          <w:lang w:val="en-US" w:eastAsia="zh-CN"/>
        </w:rPr>
        <w:t>平板绑定</w:t>
      </w:r>
      <w:r>
        <w:tab/>
      </w:r>
      <w:r>
        <w:fldChar w:fldCharType="begin"/>
      </w:r>
      <w:r>
        <w:instrText xml:space="preserve"> PAGEREF _Toc16982 \h </w:instrText>
      </w:r>
      <w:r>
        <w:fldChar w:fldCharType="separate"/>
      </w:r>
      <w:r>
        <w:t>22</w:t>
      </w:r>
      <w:r>
        <w:fldChar w:fldCharType="end"/>
      </w:r>
      <w:r>
        <w:rPr>
          <w:rFonts w:hint="eastAsia" w:asciiTheme="minorEastAsia" w:hAnsiTheme="minorEastAsia" w:eastAsiaTheme="minorEastAsia" w:cstheme="minorEastAsia"/>
          <w:szCs w:val="24"/>
          <w:lang w:val="en-US" w:eastAsia="zh-CN"/>
        </w:rPr>
        <w:fldChar w:fldCharType="end"/>
      </w:r>
    </w:p>
    <w:p w14:paraId="0D3DEB4C">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_Toc18518 </w:instrText>
      </w:r>
      <w:r>
        <w:rPr>
          <w:rFonts w:hint="eastAsia" w:asciiTheme="minorEastAsia" w:hAnsiTheme="minorEastAsia" w:eastAsiaTheme="minorEastAsia" w:cstheme="minorEastAsia"/>
          <w:szCs w:val="24"/>
          <w:lang w:val="en-US" w:eastAsia="zh-CN"/>
        </w:rPr>
        <w:fldChar w:fldCharType="separate"/>
      </w:r>
      <w:r>
        <w:rPr>
          <w:rFonts w:hint="default" w:asciiTheme="minorEastAsia" w:hAnsiTheme="minorEastAsia" w:eastAsiaTheme="minorEastAsia" w:cstheme="minorEastAsia"/>
          <w:szCs w:val="24"/>
          <w:lang w:val="en-US" w:eastAsia="zh-CN"/>
        </w:rPr>
        <w:t xml:space="preserve">3. </w:t>
      </w:r>
      <w:r>
        <w:rPr>
          <w:rFonts w:hint="eastAsia" w:asciiTheme="minorEastAsia" w:hAnsiTheme="minorEastAsia" w:eastAsiaTheme="minorEastAsia" w:cstheme="minorEastAsia"/>
          <w:szCs w:val="24"/>
          <w:lang w:val="en-US" w:eastAsia="zh-CN"/>
        </w:rPr>
        <w:t>副场池信息</w:t>
      </w:r>
      <w:r>
        <w:tab/>
      </w:r>
      <w:r>
        <w:fldChar w:fldCharType="begin"/>
      </w:r>
      <w:r>
        <w:instrText xml:space="preserve"> PAGEREF _Toc18518 \h </w:instrText>
      </w:r>
      <w:r>
        <w:fldChar w:fldCharType="separate"/>
      </w:r>
      <w:r>
        <w:t>23</w:t>
      </w:r>
      <w:r>
        <w:fldChar w:fldCharType="end"/>
      </w:r>
      <w:r>
        <w:rPr>
          <w:rFonts w:hint="eastAsia" w:asciiTheme="minorEastAsia" w:hAnsiTheme="minorEastAsia" w:eastAsiaTheme="minorEastAsia" w:cstheme="minorEastAsia"/>
          <w:szCs w:val="24"/>
          <w:lang w:val="en-US" w:eastAsia="zh-CN"/>
        </w:rPr>
        <w:fldChar w:fldCharType="end"/>
      </w:r>
    </w:p>
    <w:p w14:paraId="13D66501">
      <w:pPr>
        <w:pStyle w:val="11"/>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_Toc19274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bCs/>
          <w:kern w:val="44"/>
          <w:szCs w:val="24"/>
          <w:lang w:val="en-US" w:eastAsia="zh-CN" w:bidi="ar-SA"/>
        </w:rPr>
        <w:t>五、评委操作指南</w:t>
      </w:r>
      <w:r>
        <w:tab/>
      </w:r>
      <w:r>
        <w:fldChar w:fldCharType="begin"/>
      </w:r>
      <w:r>
        <w:instrText xml:space="preserve"> PAGEREF _Toc19274 \h </w:instrText>
      </w:r>
      <w:r>
        <w:fldChar w:fldCharType="separate"/>
      </w:r>
      <w:r>
        <w:t>23</w:t>
      </w:r>
      <w:r>
        <w:fldChar w:fldCharType="end"/>
      </w:r>
      <w:r>
        <w:rPr>
          <w:rFonts w:hint="eastAsia" w:asciiTheme="minorEastAsia" w:hAnsiTheme="minorEastAsia" w:eastAsiaTheme="minorEastAsia" w:cstheme="minorEastAsia"/>
          <w:szCs w:val="24"/>
          <w:lang w:val="en-US" w:eastAsia="zh-CN"/>
        </w:rPr>
        <w:fldChar w:fldCharType="end"/>
      </w:r>
    </w:p>
    <w:p w14:paraId="562A55F0">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_Toc24709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1.评委登录</w:t>
      </w:r>
      <w:r>
        <w:tab/>
      </w:r>
      <w:r>
        <w:fldChar w:fldCharType="begin"/>
      </w:r>
      <w:r>
        <w:instrText xml:space="preserve"> PAGEREF _Toc24709 \h </w:instrText>
      </w:r>
      <w:r>
        <w:fldChar w:fldCharType="separate"/>
      </w:r>
      <w:r>
        <w:t>23</w:t>
      </w:r>
      <w:r>
        <w:fldChar w:fldCharType="end"/>
      </w:r>
      <w:r>
        <w:rPr>
          <w:rFonts w:hint="eastAsia" w:asciiTheme="minorEastAsia" w:hAnsiTheme="minorEastAsia" w:eastAsiaTheme="minorEastAsia" w:cstheme="minorEastAsia"/>
          <w:szCs w:val="24"/>
          <w:lang w:val="en-US" w:eastAsia="zh-CN"/>
        </w:rPr>
        <w:fldChar w:fldCharType="end"/>
      </w:r>
    </w:p>
    <w:p w14:paraId="6A59EF6D">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_Toc28604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highlight w:val="none"/>
          <w:lang w:val="en-US" w:eastAsia="zh-CN"/>
        </w:rPr>
        <w:t>2.评委在线视频沟通交流及音视频存储</w:t>
      </w:r>
      <w:r>
        <w:tab/>
      </w:r>
      <w:r>
        <w:fldChar w:fldCharType="begin"/>
      </w:r>
      <w:r>
        <w:instrText xml:space="preserve"> PAGEREF _Toc28604 \h </w:instrText>
      </w:r>
      <w:r>
        <w:fldChar w:fldCharType="separate"/>
      </w:r>
      <w:r>
        <w:t>25</w:t>
      </w:r>
      <w:r>
        <w:fldChar w:fldCharType="end"/>
      </w:r>
      <w:r>
        <w:rPr>
          <w:rFonts w:hint="eastAsia" w:asciiTheme="minorEastAsia" w:hAnsiTheme="minorEastAsia" w:eastAsiaTheme="minorEastAsia" w:cstheme="minorEastAsia"/>
          <w:szCs w:val="24"/>
          <w:lang w:val="en-US" w:eastAsia="zh-CN"/>
        </w:rPr>
        <w:fldChar w:fldCharType="end"/>
      </w:r>
    </w:p>
    <w:p w14:paraId="0CB4FBEC">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_Toc6612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highlight w:val="none"/>
          <w:lang w:val="en-US" w:eastAsia="zh-CN"/>
        </w:rPr>
        <w:t>3.评委签章</w:t>
      </w:r>
      <w:r>
        <w:tab/>
      </w:r>
      <w:r>
        <w:fldChar w:fldCharType="begin"/>
      </w:r>
      <w:r>
        <w:instrText xml:space="preserve"> PAGEREF _Toc6612 \h </w:instrText>
      </w:r>
      <w:r>
        <w:fldChar w:fldCharType="separate"/>
      </w:r>
      <w:r>
        <w:t>26</w:t>
      </w:r>
      <w:r>
        <w:fldChar w:fldCharType="end"/>
      </w:r>
      <w:r>
        <w:rPr>
          <w:rFonts w:hint="eastAsia" w:asciiTheme="minorEastAsia" w:hAnsiTheme="minorEastAsia" w:eastAsiaTheme="minorEastAsia" w:cstheme="minorEastAsia"/>
          <w:szCs w:val="24"/>
          <w:lang w:val="en-US" w:eastAsia="zh-CN"/>
        </w:rPr>
        <w:fldChar w:fldCharType="end"/>
      </w:r>
    </w:p>
    <w:p w14:paraId="37358802">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_Toc1798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4.评委费发放</w:t>
      </w:r>
      <w:r>
        <w:tab/>
      </w:r>
      <w:r>
        <w:fldChar w:fldCharType="begin"/>
      </w:r>
      <w:r>
        <w:instrText xml:space="preserve"> PAGEREF _Toc1798 \h </w:instrText>
      </w:r>
      <w:r>
        <w:fldChar w:fldCharType="separate"/>
      </w:r>
      <w:r>
        <w:t>27</w:t>
      </w:r>
      <w:r>
        <w:fldChar w:fldCharType="end"/>
      </w:r>
      <w:r>
        <w:rPr>
          <w:rFonts w:hint="eastAsia" w:asciiTheme="minorEastAsia" w:hAnsiTheme="minorEastAsia" w:eastAsiaTheme="minorEastAsia" w:cstheme="minorEastAsia"/>
          <w:szCs w:val="24"/>
          <w:lang w:val="en-US" w:eastAsia="zh-CN"/>
        </w:rPr>
        <w:fldChar w:fldCharType="end"/>
      </w:r>
    </w:p>
    <w:p w14:paraId="58F08ED0">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_Toc25844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5.视频档案拷贝：</w:t>
      </w:r>
      <w:r>
        <w:tab/>
      </w:r>
      <w:r>
        <w:fldChar w:fldCharType="begin"/>
      </w:r>
      <w:r>
        <w:instrText xml:space="preserve"> PAGEREF _Toc25844 \h </w:instrText>
      </w:r>
      <w:r>
        <w:fldChar w:fldCharType="separate"/>
      </w:r>
      <w:r>
        <w:t>28</w:t>
      </w:r>
      <w:r>
        <w:fldChar w:fldCharType="end"/>
      </w:r>
      <w:r>
        <w:rPr>
          <w:rFonts w:hint="eastAsia" w:asciiTheme="minorEastAsia" w:hAnsiTheme="minorEastAsia" w:eastAsiaTheme="minorEastAsia" w:cstheme="minorEastAsia"/>
          <w:szCs w:val="24"/>
          <w:lang w:val="en-US" w:eastAsia="zh-CN"/>
        </w:rPr>
        <w:fldChar w:fldCharType="end"/>
      </w:r>
    </w:p>
    <w:p w14:paraId="2A619BB9">
      <w:pPr>
        <w:pStyle w:val="13"/>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_Toc25293 </w:instrText>
      </w:r>
      <w:r>
        <w:rPr>
          <w:rFonts w:hint="eastAsia" w:asciiTheme="minorEastAsia" w:hAnsiTheme="minorEastAsia" w:eastAsiaTheme="minorEastAsia" w:cstheme="minorEastAsia"/>
          <w:szCs w:val="24"/>
          <w:lang w:val="en-US" w:eastAsia="zh-CN"/>
        </w:rPr>
        <w:fldChar w:fldCharType="separate"/>
      </w:r>
      <w:r>
        <w:rPr>
          <w:rFonts w:hint="default" w:ascii="宋体" w:hAnsi="宋体" w:eastAsia="宋体" w:cs="宋体"/>
          <w:szCs w:val="24"/>
          <w:lang w:val="en-US" w:eastAsia="zh-CN"/>
        </w:rPr>
        <w:t xml:space="preserve">6. </w:t>
      </w:r>
      <w:r>
        <w:rPr>
          <w:rFonts w:hint="eastAsia" w:asciiTheme="minorEastAsia" w:hAnsiTheme="minorEastAsia" w:eastAsiaTheme="minorEastAsia" w:cstheme="minorEastAsia"/>
          <w:szCs w:val="24"/>
          <w:lang w:val="en-US" w:eastAsia="zh-CN"/>
        </w:rPr>
        <w:t>项目复议</w:t>
      </w:r>
      <w:r>
        <w:tab/>
      </w:r>
      <w:r>
        <w:fldChar w:fldCharType="begin"/>
      </w:r>
      <w:r>
        <w:instrText xml:space="preserve"> PAGEREF _Toc25293 \h </w:instrText>
      </w:r>
      <w:r>
        <w:fldChar w:fldCharType="separate"/>
      </w:r>
      <w:r>
        <w:t>28</w:t>
      </w:r>
      <w:r>
        <w:fldChar w:fldCharType="end"/>
      </w:r>
      <w:r>
        <w:rPr>
          <w:rFonts w:hint="eastAsia" w:asciiTheme="minorEastAsia" w:hAnsiTheme="minorEastAsia" w:eastAsiaTheme="minorEastAsia" w:cstheme="minorEastAsia"/>
          <w:szCs w:val="24"/>
          <w:lang w:val="en-US" w:eastAsia="zh-CN"/>
        </w:rPr>
        <w:fldChar w:fldCharType="end"/>
      </w:r>
    </w:p>
    <w:p w14:paraId="79F3F8BF">
      <w:pPr>
        <w:pStyle w:val="11"/>
        <w:tabs>
          <w:tab w:val="right" w:leader="dot" w:pos="10466"/>
        </w:tabs>
      </w:pPr>
      <w:r>
        <w:rPr>
          <w:rFonts w:hint="eastAsia" w:asciiTheme="minorEastAsia" w:hAnsiTheme="minorEastAsia" w:eastAsiaTheme="minorEastAsia" w:cstheme="minorEastAsia"/>
          <w:szCs w:val="24"/>
          <w:lang w:val="en-US" w:eastAsia="zh-CN"/>
        </w:rPr>
        <w:fldChar w:fldCharType="begin"/>
      </w:r>
      <w:r>
        <w:rPr>
          <w:rFonts w:hint="eastAsia" w:asciiTheme="minorEastAsia" w:hAnsiTheme="minorEastAsia" w:eastAsiaTheme="minorEastAsia" w:cstheme="minorEastAsia"/>
          <w:szCs w:val="24"/>
          <w:lang w:val="en-US" w:eastAsia="zh-CN"/>
        </w:rPr>
        <w:instrText xml:space="preserve"> HYPERLINK \l _Toc18888 </w:instrText>
      </w:r>
      <w:r>
        <w:rPr>
          <w:rFonts w:hint="eastAsia" w:asciiTheme="minorEastAsia" w:hAnsiTheme="minorEastAsia" w:eastAsiaTheme="minorEastAsia" w:cstheme="minorEastAsia"/>
          <w:szCs w:val="24"/>
          <w:lang w:val="en-US" w:eastAsia="zh-CN"/>
        </w:rPr>
        <w:fldChar w:fldCharType="separate"/>
      </w:r>
      <w:r>
        <w:rPr>
          <w:rFonts w:hint="eastAsia" w:asciiTheme="minorEastAsia" w:hAnsiTheme="minorEastAsia" w:eastAsiaTheme="minorEastAsia" w:cstheme="minorEastAsia"/>
          <w:szCs w:val="24"/>
          <w:lang w:val="en-US" w:eastAsia="zh-CN"/>
        </w:rPr>
        <w:t>六、远程异地评标技术负责人联络表</w:t>
      </w:r>
      <w:r>
        <w:tab/>
      </w:r>
      <w:r>
        <w:fldChar w:fldCharType="begin"/>
      </w:r>
      <w:r>
        <w:instrText xml:space="preserve"> PAGEREF _Toc18888 \h </w:instrText>
      </w:r>
      <w:r>
        <w:fldChar w:fldCharType="separate"/>
      </w:r>
      <w:r>
        <w:t>30</w:t>
      </w:r>
      <w:r>
        <w:fldChar w:fldCharType="end"/>
      </w:r>
      <w:r>
        <w:rPr>
          <w:rFonts w:hint="eastAsia" w:asciiTheme="minorEastAsia" w:hAnsiTheme="minorEastAsia" w:eastAsiaTheme="minorEastAsia" w:cstheme="minorEastAsia"/>
          <w:szCs w:val="24"/>
          <w:lang w:val="en-US" w:eastAsia="zh-CN"/>
        </w:rPr>
        <w:fldChar w:fldCharType="end"/>
      </w:r>
    </w:p>
    <w:p w14:paraId="3194E258">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kern w:val="44"/>
          <w:sz w:val="24"/>
          <w:szCs w:val="24"/>
          <w:lang w:val="en-US" w:eastAsia="zh-CN" w:bidi="ar-SA"/>
        </w:rPr>
      </w:pPr>
      <w:r>
        <w:rPr>
          <w:rFonts w:hint="eastAsia" w:asciiTheme="minorEastAsia" w:hAnsiTheme="minorEastAsia" w:eastAsiaTheme="minorEastAsia" w:cstheme="minorEastAsia"/>
          <w:szCs w:val="24"/>
          <w:lang w:val="en-US" w:eastAsia="zh-CN"/>
        </w:rPr>
        <w:fldChar w:fldCharType="end"/>
      </w:r>
    </w:p>
    <w:p w14:paraId="4525A8A3">
      <w:pPr>
        <w:pStyle w:val="2"/>
        <w:pageBreakBefore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p>
    <w:p w14:paraId="4E50A534">
      <w:pPr>
        <w:pStyle w:val="2"/>
        <w:pageBreakBefore w:val="0"/>
        <w:numPr>
          <w:ilvl w:val="0"/>
          <w:numId w:val="3"/>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bookmarkStart w:id="3" w:name="_Toc28539"/>
      <w:r>
        <w:rPr>
          <w:rFonts w:hint="eastAsia" w:asciiTheme="minorEastAsia" w:hAnsiTheme="minorEastAsia" w:eastAsiaTheme="minorEastAsia" w:cstheme="minorEastAsia"/>
          <w:sz w:val="24"/>
          <w:szCs w:val="24"/>
          <w:lang w:val="en-US" w:eastAsia="zh-CN"/>
        </w:rPr>
        <w:t>工作人员登录系统</w:t>
      </w:r>
      <w:bookmarkEnd w:id="3"/>
    </w:p>
    <w:p w14:paraId="620C6E73">
      <w:pPr>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val="0"/>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运行环境</w:t>
      </w:r>
      <w:r>
        <w:rPr>
          <w:rFonts w:hint="eastAsia" w:asciiTheme="minorEastAsia" w:hAnsiTheme="minorEastAsia" w:eastAsiaTheme="minorEastAsia" w:cstheme="minorEastAsia"/>
          <w:b w:val="0"/>
          <w:kern w:val="2"/>
          <w:sz w:val="24"/>
          <w:szCs w:val="24"/>
          <w:lang w:val="en-US" w:eastAsia="zh-CN" w:bidi="ar-SA"/>
        </w:rPr>
        <w:t>：任意PC机，安装Win</w:t>
      </w:r>
      <w:r>
        <w:rPr>
          <w:rFonts w:hint="eastAsia" w:asciiTheme="minorEastAsia" w:hAnsiTheme="minorEastAsia" w:eastAsiaTheme="minorEastAsia" w:cstheme="minorEastAsia"/>
          <w:b w:val="0"/>
          <w:kern w:val="2"/>
          <w:sz w:val="24"/>
          <w:szCs w:val="24"/>
          <w:highlight w:val="none"/>
          <w:lang w:val="en-US" w:eastAsia="zh-CN" w:bidi="ar-SA"/>
        </w:rPr>
        <w:t>dows 7</w:t>
      </w:r>
      <w:r>
        <w:rPr>
          <w:rFonts w:hint="eastAsia" w:asciiTheme="minorEastAsia" w:hAnsiTheme="minorEastAsia" w:cstheme="minorEastAsia"/>
          <w:b w:val="0"/>
          <w:kern w:val="2"/>
          <w:sz w:val="24"/>
          <w:szCs w:val="24"/>
          <w:highlight w:val="none"/>
          <w:lang w:val="en-US" w:eastAsia="zh-CN" w:bidi="ar-SA"/>
        </w:rPr>
        <w:t>版本</w:t>
      </w:r>
      <w:r>
        <w:rPr>
          <w:rFonts w:hint="eastAsia" w:asciiTheme="minorEastAsia" w:hAnsiTheme="minorEastAsia" w:eastAsiaTheme="minorEastAsia" w:cstheme="minorEastAsia"/>
          <w:b w:val="0"/>
          <w:kern w:val="2"/>
          <w:sz w:val="24"/>
          <w:szCs w:val="24"/>
          <w:highlight w:val="none"/>
          <w:lang w:val="en-US" w:eastAsia="zh-CN" w:bidi="ar-SA"/>
        </w:rPr>
        <w:t>以上操作系统，</w:t>
      </w:r>
      <w:r>
        <w:rPr>
          <w:rFonts w:hint="eastAsia" w:asciiTheme="minorEastAsia" w:hAnsiTheme="minorEastAsia" w:cstheme="minorEastAsia"/>
          <w:b w:val="0"/>
          <w:kern w:val="2"/>
          <w:sz w:val="24"/>
          <w:szCs w:val="24"/>
          <w:highlight w:val="none"/>
          <w:lang w:val="en-US" w:eastAsia="zh-CN" w:bidi="ar-SA"/>
        </w:rPr>
        <w:t>建</w:t>
      </w:r>
      <w:r>
        <w:rPr>
          <w:rFonts w:hint="eastAsia" w:asciiTheme="minorEastAsia" w:hAnsiTheme="minorEastAsia" w:cstheme="minorEastAsia"/>
          <w:b w:val="0"/>
          <w:kern w:val="2"/>
          <w:sz w:val="24"/>
          <w:szCs w:val="24"/>
          <w:lang w:val="en-US" w:eastAsia="zh-CN" w:bidi="ar-SA"/>
        </w:rPr>
        <w:t>议使用</w:t>
      </w:r>
      <w:r>
        <w:rPr>
          <w:rFonts w:hint="eastAsia" w:asciiTheme="minorEastAsia" w:hAnsiTheme="minorEastAsia" w:eastAsiaTheme="minorEastAsia" w:cstheme="minorEastAsia"/>
          <w:b w:val="0"/>
          <w:kern w:val="2"/>
          <w:sz w:val="24"/>
          <w:szCs w:val="24"/>
          <w:lang w:val="en-US" w:eastAsia="zh-CN" w:bidi="ar-SA"/>
        </w:rPr>
        <w:t>谷歌</w:t>
      </w:r>
      <w:r>
        <w:rPr>
          <w:rFonts w:hint="eastAsia" w:asciiTheme="minorEastAsia" w:hAnsiTheme="minorEastAsia" w:cstheme="minorEastAsia"/>
          <w:b w:val="0"/>
          <w:kern w:val="2"/>
          <w:sz w:val="24"/>
          <w:szCs w:val="24"/>
          <w:lang w:val="en-US" w:eastAsia="zh-CN" w:bidi="ar-SA"/>
        </w:rPr>
        <w:t>浏览器或</w:t>
      </w:r>
      <w:r>
        <w:rPr>
          <w:rFonts w:hint="eastAsia" w:asciiTheme="minorEastAsia" w:hAnsiTheme="minorEastAsia" w:eastAsiaTheme="minorEastAsia" w:cstheme="minorEastAsia"/>
          <w:b w:val="0"/>
          <w:kern w:val="2"/>
          <w:sz w:val="24"/>
          <w:szCs w:val="24"/>
          <w:lang w:val="en-US" w:eastAsia="zh-CN" w:bidi="ar-SA"/>
        </w:rPr>
        <w:t>IE11.0以上浏览器软件，在</w:t>
      </w:r>
      <w:r>
        <w:rPr>
          <w:rFonts w:hint="eastAsia" w:asciiTheme="minorEastAsia" w:hAnsiTheme="minorEastAsia" w:eastAsiaTheme="minorEastAsia" w:cstheme="minorEastAsia"/>
          <w:b/>
          <w:bCs/>
          <w:color w:val="FF0000"/>
          <w:kern w:val="2"/>
          <w:sz w:val="24"/>
          <w:szCs w:val="24"/>
          <w:lang w:val="en-US" w:eastAsia="zh-CN" w:bidi="ar-SA"/>
        </w:rPr>
        <w:t>政务外网</w:t>
      </w:r>
      <w:r>
        <w:rPr>
          <w:rFonts w:hint="eastAsia" w:asciiTheme="minorEastAsia" w:hAnsiTheme="minorEastAsia" w:eastAsiaTheme="minorEastAsia" w:cstheme="minorEastAsia"/>
          <w:b w:val="0"/>
          <w:kern w:val="2"/>
          <w:sz w:val="24"/>
          <w:szCs w:val="24"/>
          <w:lang w:val="en-US" w:eastAsia="zh-CN" w:bidi="ar-SA"/>
        </w:rPr>
        <w:t>环境下访问和使用本系统。</w:t>
      </w:r>
    </w:p>
    <w:p w14:paraId="71E46D69">
      <w:pPr>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kern w:val="2"/>
          <w:sz w:val="24"/>
          <w:szCs w:val="24"/>
          <w:lang w:val="en-US" w:eastAsia="zh-CN" w:bidi="ar-SA"/>
        </w:rPr>
      </w:pPr>
    </w:p>
    <w:p w14:paraId="4D488BD9">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工作人员通过“易采虹”平台首页“中心人员登录”入口进入登录页面。</w:t>
      </w:r>
    </w:p>
    <w:p w14:paraId="185F97CB">
      <w:pPr>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吉林省一体化平台远程异地评标易彩虹平台登录地址：</w:t>
      </w: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HYPERLINK "http://ggzyyth.zsj.jl.cegn.cn:8088" </w:instrText>
      </w:r>
      <w:r>
        <w:rPr>
          <w:rFonts w:hint="eastAsia" w:asciiTheme="minorEastAsia" w:hAnsiTheme="minorEastAsia" w:eastAsiaTheme="minorEastAsia" w:cstheme="minorEastAsia"/>
          <w:sz w:val="24"/>
          <w:szCs w:val="24"/>
          <w:lang w:val="en-US" w:eastAsia="zh-CN"/>
        </w:rPr>
        <w:fldChar w:fldCharType="separate"/>
      </w:r>
      <w:r>
        <w:rPr>
          <w:rStyle w:val="16"/>
          <w:rFonts w:hint="eastAsia" w:asciiTheme="minorEastAsia" w:hAnsiTheme="minorEastAsia" w:eastAsiaTheme="minorEastAsia" w:cstheme="minorEastAsia"/>
          <w:sz w:val="24"/>
          <w:szCs w:val="24"/>
          <w:lang w:val="en-US" w:eastAsia="zh-CN"/>
        </w:rPr>
        <w:t>http://ggzyyth.zsj.jl.cegn.cn:8088</w:t>
      </w:r>
      <w:r>
        <w:rPr>
          <w:rFonts w:hint="eastAsia" w:asciiTheme="minorEastAsia" w:hAnsiTheme="minorEastAsia" w:eastAsiaTheme="minorEastAsia" w:cstheme="minorEastAsia"/>
          <w:sz w:val="24"/>
          <w:szCs w:val="24"/>
          <w:lang w:val="en-US" w:eastAsia="zh-CN"/>
        </w:rPr>
        <w:fldChar w:fldCharType="end"/>
      </w:r>
    </w:p>
    <w:p w14:paraId="655AB567">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5869305" cy="3552190"/>
            <wp:effectExtent l="0" t="0" r="1714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869305" cy="3552190"/>
                    </a:xfrm>
                    <a:prstGeom prst="rect">
                      <a:avLst/>
                    </a:prstGeom>
                    <a:noFill/>
                    <a:ln>
                      <a:noFill/>
                    </a:ln>
                  </pic:spPr>
                </pic:pic>
              </a:graphicData>
            </a:graphic>
          </wp:inline>
        </w:drawing>
      </w:r>
    </w:p>
    <w:p w14:paraId="1DF45D2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p>
    <w:p w14:paraId="1E86EFB0">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账号密码登录，账号为手机号码，默认密码5个1，登录后请及时修改原始密码，点击右上角头像，点击“修改密码”修改密码。</w:t>
      </w:r>
    </w:p>
    <w:p w14:paraId="33532843">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若提示用户名不存在或密码错误，请联系技术人员检查是否开启账号或将密码初始化。</w:t>
      </w:r>
    </w:p>
    <w:p w14:paraId="5DC65064">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178550" cy="3350895"/>
            <wp:effectExtent l="0" t="0" r="1270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178550" cy="3350895"/>
                    </a:xfrm>
                    <a:prstGeom prst="rect">
                      <a:avLst/>
                    </a:prstGeom>
                    <a:noFill/>
                    <a:ln>
                      <a:noFill/>
                    </a:ln>
                  </pic:spPr>
                </pic:pic>
              </a:graphicData>
            </a:graphic>
          </wp:inline>
        </w:drawing>
      </w:r>
    </w:p>
    <w:bookmarkEnd w:id="0"/>
    <w:p w14:paraId="4BE3F6CA">
      <w:pPr>
        <w:pStyle w:val="3"/>
        <w:pageBreakBefore w:val="0"/>
        <w:widowControl w:val="0"/>
        <w:kinsoku/>
        <w:wordWrap/>
        <w:overflowPunct/>
        <w:topLinePunct w:val="0"/>
        <w:autoSpaceDE/>
        <w:autoSpaceDN/>
        <w:bidi w:val="0"/>
        <w:adjustRightInd/>
        <w:snapToGrid/>
        <w:spacing w:line="360" w:lineRule="auto"/>
        <w:textAlignment w:val="auto"/>
        <w:outlineLvl w:val="0"/>
        <w:rPr>
          <w:rFonts w:hint="eastAsia" w:asciiTheme="minorEastAsia" w:hAnsiTheme="minorEastAsia" w:eastAsiaTheme="minorEastAsia" w:cstheme="minorEastAsia"/>
          <w:sz w:val="24"/>
          <w:szCs w:val="24"/>
          <w:lang w:val="en-US"/>
        </w:rPr>
      </w:pPr>
      <w:bookmarkStart w:id="4" w:name="_Toc5892"/>
      <w:r>
        <w:rPr>
          <w:rFonts w:hint="eastAsia" w:asciiTheme="minorEastAsia" w:hAnsiTheme="minorEastAsia" w:eastAsiaTheme="minorEastAsia" w:cstheme="minorEastAsia"/>
          <w:sz w:val="24"/>
          <w:szCs w:val="24"/>
          <w:lang w:val="en-US" w:eastAsia="zh-CN"/>
        </w:rPr>
        <w:t>二、主场工作人员操作指南</w:t>
      </w:r>
      <w:bookmarkEnd w:id="4"/>
    </w:p>
    <w:p w14:paraId="7DA45B29">
      <w:pPr>
        <w:pStyle w:val="4"/>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heme="minorEastAsia" w:hAnsiTheme="minorEastAsia" w:eastAsiaTheme="minorEastAsia" w:cstheme="minorEastAsia"/>
          <w:sz w:val="24"/>
          <w:szCs w:val="24"/>
          <w:lang w:val="en-US" w:eastAsia="zh-CN"/>
        </w:rPr>
      </w:pPr>
      <w:bookmarkStart w:id="5" w:name="_Toc2958"/>
      <w:r>
        <w:rPr>
          <w:rFonts w:hint="eastAsia" w:asciiTheme="minorEastAsia" w:hAnsiTheme="minorEastAsia" w:eastAsiaTheme="minorEastAsia" w:cstheme="minorEastAsia"/>
          <w:sz w:val="24"/>
          <w:szCs w:val="24"/>
          <w:lang w:val="en-US" w:eastAsia="zh-CN"/>
        </w:rPr>
        <w:t>1.场地预约</w:t>
      </w:r>
      <w:r>
        <w:rPr>
          <w:rFonts w:hint="eastAsia" w:asciiTheme="minorEastAsia" w:hAnsiTheme="minorEastAsia" w:cstheme="minorEastAsia"/>
          <w:sz w:val="24"/>
          <w:szCs w:val="24"/>
          <w:lang w:val="en-US" w:eastAsia="zh-CN"/>
        </w:rPr>
        <w:t>审核</w:t>
      </w:r>
      <w:bookmarkEnd w:id="5"/>
    </w:p>
    <w:p w14:paraId="2B93687F">
      <w:pPr>
        <w:pageBreakBefore w:val="0"/>
        <w:widowControl w:val="0"/>
        <w:numPr>
          <w:ilvl w:val="0"/>
          <w:numId w:val="0"/>
        </w:numPr>
        <w:kinsoku/>
        <w:wordWrap/>
        <w:overflowPunct/>
        <w:topLinePunct w:val="0"/>
        <w:autoSpaceDE/>
        <w:autoSpaceDN/>
        <w:bidi w:val="0"/>
        <w:adjustRightInd/>
        <w:snapToGrid/>
        <w:spacing w:line="360" w:lineRule="auto"/>
        <w:ind w:left="357" w:leftChars="17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业务系统</w:t>
      </w:r>
      <w:r>
        <w:rPr>
          <w:rFonts w:hint="eastAsia" w:asciiTheme="minorEastAsia" w:hAnsiTheme="minorEastAsia" w:eastAsiaTheme="minorEastAsia" w:cstheme="minorEastAsia"/>
          <w:sz w:val="24"/>
          <w:szCs w:val="24"/>
          <w:lang w:val="en-US" w:eastAsia="zh-CN"/>
        </w:rPr>
        <w:t>场地</w:t>
      </w:r>
      <w:r>
        <w:rPr>
          <w:rFonts w:hint="eastAsia" w:asciiTheme="minorEastAsia" w:hAnsiTheme="minorEastAsia" w:cstheme="minorEastAsia"/>
          <w:sz w:val="24"/>
          <w:szCs w:val="24"/>
          <w:lang w:val="en-US" w:eastAsia="zh-CN"/>
        </w:rPr>
        <w:t>预约时，由代理公司勾选是否为远程评标项目，</w:t>
      </w:r>
      <w:r>
        <w:rPr>
          <w:rFonts w:hint="eastAsia" w:asciiTheme="minorEastAsia" w:hAnsiTheme="minorEastAsia" w:eastAsiaTheme="minorEastAsia" w:cstheme="minorEastAsia"/>
          <w:sz w:val="24"/>
          <w:szCs w:val="24"/>
          <w:lang w:val="en-US" w:eastAsia="zh-CN"/>
        </w:rPr>
        <w:t>审核人员审核场地</w:t>
      </w:r>
      <w:r>
        <w:rPr>
          <w:rFonts w:hint="eastAsia" w:asciiTheme="minorEastAsia" w:hAnsiTheme="minorEastAsia" w:cstheme="minorEastAsia"/>
          <w:sz w:val="24"/>
          <w:szCs w:val="24"/>
          <w:lang w:val="en-US" w:eastAsia="zh-CN"/>
        </w:rPr>
        <w:t>时注意</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若</w:t>
      </w:r>
      <w:r>
        <w:rPr>
          <w:rFonts w:hint="eastAsia" w:asciiTheme="minorEastAsia" w:hAnsiTheme="minorEastAsia" w:eastAsiaTheme="minorEastAsia" w:cstheme="minorEastAsia"/>
          <w:sz w:val="24"/>
          <w:szCs w:val="24"/>
          <w:lang w:val="en-US" w:eastAsia="zh-CN"/>
        </w:rPr>
        <w:t>勾选</w:t>
      </w:r>
      <w:r>
        <w:rPr>
          <w:rFonts w:hint="eastAsia" w:asciiTheme="minorEastAsia" w:hAnsiTheme="minorEastAsia" w:cstheme="minorEastAsia"/>
          <w:sz w:val="24"/>
          <w:szCs w:val="24"/>
          <w:lang w:val="en-US" w:eastAsia="zh-CN"/>
        </w:rPr>
        <w:t>了</w:t>
      </w:r>
      <w:r>
        <w:rPr>
          <w:rFonts w:hint="eastAsia" w:asciiTheme="minorEastAsia" w:hAnsiTheme="minorEastAsia" w:eastAsiaTheme="minorEastAsia" w:cstheme="minorEastAsia"/>
          <w:sz w:val="24"/>
          <w:szCs w:val="24"/>
          <w:lang w:val="en-US" w:eastAsia="zh-CN"/>
        </w:rPr>
        <w:t>“远程评标项目”选项，此项目</w:t>
      </w:r>
      <w:r>
        <w:rPr>
          <w:rFonts w:hint="eastAsia" w:asciiTheme="minorEastAsia" w:hAnsiTheme="minorEastAsia" w:cstheme="minorEastAsia"/>
          <w:sz w:val="24"/>
          <w:szCs w:val="24"/>
          <w:lang w:val="en-US" w:eastAsia="zh-CN"/>
        </w:rPr>
        <w:t>会被确认为</w:t>
      </w:r>
      <w:r>
        <w:rPr>
          <w:rFonts w:hint="eastAsia" w:asciiTheme="minorEastAsia" w:hAnsiTheme="minorEastAsia" w:eastAsiaTheme="minorEastAsia" w:cstheme="minorEastAsia"/>
          <w:sz w:val="24"/>
          <w:szCs w:val="24"/>
          <w:lang w:val="en-US" w:eastAsia="zh-CN"/>
        </w:rPr>
        <w:t>远程异地评标项目。</w:t>
      </w:r>
    </w:p>
    <w:p w14:paraId="4B419B52">
      <w:pPr>
        <w:pageBreakBefore w:val="0"/>
        <w:widowControl w:val="0"/>
        <w:numPr>
          <w:ilvl w:val="0"/>
          <w:numId w:val="0"/>
        </w:numPr>
        <w:kinsoku/>
        <w:wordWrap/>
        <w:overflowPunct/>
        <w:topLinePunct w:val="0"/>
        <w:autoSpaceDE/>
        <w:autoSpaceDN/>
        <w:bidi w:val="0"/>
        <w:adjustRightInd/>
        <w:snapToGrid/>
        <w:spacing w:line="360" w:lineRule="auto"/>
        <w:ind w:left="357" w:leftChars="17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若项目发生场地变更，需重新抽取副场。</w:t>
      </w:r>
    </w:p>
    <w:p w14:paraId="15632CC4">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drawing>
          <wp:inline distT="0" distB="0" distL="114300" distR="114300">
            <wp:extent cx="6777990" cy="3362325"/>
            <wp:effectExtent l="0" t="0" r="3810" b="952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8"/>
                    <a:stretch>
                      <a:fillRect/>
                    </a:stretch>
                  </pic:blipFill>
                  <pic:spPr>
                    <a:xfrm>
                      <a:off x="0" y="0"/>
                      <a:ext cx="6777990" cy="3362325"/>
                    </a:xfrm>
                    <a:prstGeom prst="rect">
                      <a:avLst/>
                    </a:prstGeom>
                    <a:noFill/>
                    <a:ln>
                      <a:noFill/>
                    </a:ln>
                  </pic:spPr>
                </pic:pic>
              </a:graphicData>
            </a:graphic>
          </wp:inline>
        </w:drawing>
      </w:r>
    </w:p>
    <w:p w14:paraId="460E1C0D">
      <w:pPr>
        <w:pStyle w:val="4"/>
        <w:pageBreakBefore w:val="0"/>
        <w:widowControl w:val="0"/>
        <w:numPr>
          <w:ilvl w:val="2"/>
          <w:numId w:val="0"/>
        </w:numPr>
        <w:tabs>
          <w:tab w:val="clear" w:pos="709"/>
        </w:tabs>
        <w:kinsoku/>
        <w:wordWrap/>
        <w:overflowPunct/>
        <w:topLinePunct w:val="0"/>
        <w:autoSpaceDE/>
        <w:autoSpaceDN/>
        <w:bidi w:val="0"/>
        <w:adjustRightInd/>
        <w:snapToGrid/>
        <w:spacing w:line="360" w:lineRule="auto"/>
        <w:ind w:leftChars="0"/>
        <w:textAlignment w:val="auto"/>
        <w:outlineLvl w:val="1"/>
        <w:rPr>
          <w:rFonts w:hint="eastAsia" w:asciiTheme="minorEastAsia" w:hAnsiTheme="minorEastAsia" w:eastAsiaTheme="minorEastAsia" w:cstheme="minorEastAsia"/>
          <w:sz w:val="24"/>
          <w:szCs w:val="24"/>
          <w:lang w:val="en-US" w:eastAsia="zh-CN"/>
        </w:rPr>
      </w:pPr>
      <w:bookmarkStart w:id="6" w:name="_Toc3824"/>
      <w:r>
        <w:rPr>
          <w:rFonts w:hint="eastAsia" w:asciiTheme="minorEastAsia" w:hAnsiTheme="minorEastAsia" w:eastAsiaTheme="minorEastAsia" w:cstheme="minorEastAsia"/>
          <w:sz w:val="24"/>
          <w:szCs w:val="24"/>
          <w:lang w:val="en-US" w:eastAsia="zh-CN"/>
        </w:rPr>
        <w:t>2.选择副场操作指南</w:t>
      </w:r>
      <w:bookmarkEnd w:id="6"/>
    </w:p>
    <w:p w14:paraId="3A6852C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业务系统场地预约审核通过后，交易中心工作人员通过账号密码登录“易彩虹”平台下的“</w:t>
      </w:r>
      <w:r>
        <w:rPr>
          <w:rFonts w:hint="eastAsia" w:asciiTheme="minorEastAsia" w:hAnsiTheme="minorEastAsia" w:cstheme="minorEastAsia"/>
          <w:sz w:val="24"/>
          <w:szCs w:val="24"/>
          <w:lang w:val="en-US" w:eastAsia="zh-CN"/>
        </w:rPr>
        <w:t>双随机抽取</w:t>
      </w:r>
      <w:r>
        <w:rPr>
          <w:rFonts w:hint="eastAsia" w:asciiTheme="minorEastAsia" w:hAnsiTheme="minorEastAsia" w:eastAsiaTheme="minorEastAsia" w:cstheme="minorEastAsia"/>
          <w:sz w:val="24"/>
          <w:szCs w:val="24"/>
          <w:lang w:val="en-US" w:eastAsia="zh-CN"/>
        </w:rPr>
        <w:t>”功能，点击“随机抽取”后选择抽取方式。</w:t>
      </w:r>
    </w:p>
    <w:p w14:paraId="21921425">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drawing>
          <wp:inline distT="0" distB="0" distL="114300" distR="114300">
            <wp:extent cx="6642100" cy="2042160"/>
            <wp:effectExtent l="0" t="0" r="6350"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6642100" cy="2042160"/>
                    </a:xfrm>
                    <a:prstGeom prst="rect">
                      <a:avLst/>
                    </a:prstGeom>
                    <a:noFill/>
                    <a:ln>
                      <a:noFill/>
                    </a:ln>
                  </pic:spPr>
                </pic:pic>
              </a:graphicData>
            </a:graphic>
          </wp:inline>
        </w:drawing>
      </w:r>
    </w:p>
    <w:p w14:paraId="39421EE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随机抽取进行的条件：请查找状态为“机位预约”的项目（场地预约审核通过的项目状态为机位预约状态），点击随机抽取图标。</w:t>
      </w:r>
    </w:p>
    <w:p w14:paraId="21F6FFDB">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515735" cy="3192780"/>
            <wp:effectExtent l="0" t="0" r="18415"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0"/>
                    <a:stretch>
                      <a:fillRect/>
                    </a:stretch>
                  </pic:blipFill>
                  <pic:spPr>
                    <a:xfrm>
                      <a:off x="0" y="0"/>
                      <a:ext cx="6515735" cy="3192780"/>
                    </a:xfrm>
                    <a:prstGeom prst="rect">
                      <a:avLst/>
                    </a:prstGeom>
                    <a:noFill/>
                    <a:ln>
                      <a:noFill/>
                    </a:ln>
                  </pic:spPr>
                </pic:pic>
              </a:graphicData>
            </a:graphic>
          </wp:inline>
        </w:drawing>
      </w:r>
    </w:p>
    <w:p w14:paraId="3E1D2B8E">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副场选择方式由项目行管部门确认，选择“随机抽取副场”或“指定副场”。</w:t>
      </w:r>
    </w:p>
    <w:p w14:paraId="059E8E0F">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指定副场：由主场手动选择副场。</w:t>
      </w:r>
    </w:p>
    <w:p w14:paraId="138D9DFC">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随机抽取副场：系统随机抽取副场及副场专家人数。</w:t>
      </w:r>
    </w:p>
    <w:p w14:paraId="6ED90CD5">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drawing>
          <wp:inline distT="0" distB="0" distL="114300" distR="114300">
            <wp:extent cx="6481445" cy="2120265"/>
            <wp:effectExtent l="0" t="0" r="14605" b="13335"/>
            <wp:docPr id="22" name="图片 22" descr="172717706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27177063166"/>
                    <pic:cNvPicPr>
                      <a:picLocks noChangeAspect="1"/>
                    </pic:cNvPicPr>
                  </pic:nvPicPr>
                  <pic:blipFill>
                    <a:blip r:embed="rId11"/>
                    <a:stretch>
                      <a:fillRect/>
                    </a:stretch>
                  </pic:blipFill>
                  <pic:spPr>
                    <a:xfrm>
                      <a:off x="0" y="0"/>
                      <a:ext cx="6481445" cy="2120265"/>
                    </a:xfrm>
                    <a:prstGeom prst="rect">
                      <a:avLst/>
                    </a:prstGeom>
                  </pic:spPr>
                </pic:pic>
              </a:graphicData>
            </a:graphic>
          </wp:inline>
        </w:drawing>
      </w:r>
    </w:p>
    <w:p w14:paraId="0D4A7EA4">
      <w:pPr>
        <w:pStyle w:val="5"/>
        <w:pageBreakBefore w:val="0"/>
        <w:widowControl w:val="0"/>
        <w:kinsoku/>
        <w:wordWrap/>
        <w:overflowPunct/>
        <w:topLinePunct w:val="0"/>
        <w:autoSpaceDE/>
        <w:autoSpaceDN/>
        <w:bidi w:val="0"/>
        <w:adjustRightInd/>
        <w:snapToGrid/>
        <w:spacing w:line="360" w:lineRule="auto"/>
        <w:textAlignment w:val="auto"/>
        <w:outlineLvl w:val="2"/>
        <w:rPr>
          <w:rFonts w:hint="eastAsia" w:asciiTheme="minorEastAsia" w:hAnsiTheme="minorEastAsia" w:eastAsiaTheme="minorEastAsia" w:cstheme="minorEastAsia"/>
          <w:sz w:val="24"/>
          <w:szCs w:val="24"/>
          <w:lang w:val="en-US" w:eastAsia="zh-CN"/>
        </w:rPr>
      </w:pPr>
      <w:bookmarkStart w:id="7" w:name="_Toc14974"/>
      <w:r>
        <w:rPr>
          <w:rFonts w:hint="eastAsia" w:asciiTheme="minorEastAsia" w:hAnsiTheme="minorEastAsia" w:eastAsiaTheme="minorEastAsia" w:cstheme="minorEastAsia"/>
          <w:sz w:val="24"/>
          <w:szCs w:val="24"/>
          <w:lang w:val="en-US" w:eastAsia="zh-CN"/>
        </w:rPr>
        <w:t>2.1、随机抽取副场</w:t>
      </w:r>
      <w:bookmarkEnd w:id="7"/>
    </w:p>
    <w:p w14:paraId="40AED9DC">
      <w:pPr>
        <w:pStyle w:val="6"/>
        <w:pageBreakBefore w:val="0"/>
        <w:widowControl w:val="0"/>
        <w:kinsoku/>
        <w:wordWrap/>
        <w:overflowPunct/>
        <w:topLinePunct w:val="0"/>
        <w:autoSpaceDE/>
        <w:autoSpaceDN/>
        <w:bidi w:val="0"/>
        <w:adjustRightInd/>
        <w:snapToGrid/>
        <w:spacing w:line="360" w:lineRule="auto"/>
        <w:textAlignment w:val="auto"/>
        <w:outlineLvl w:val="3"/>
        <w:rPr>
          <w:rFonts w:hint="eastAsia" w:asciiTheme="minorEastAsia" w:hAnsiTheme="minorEastAsia" w:eastAsiaTheme="minorEastAsia" w:cstheme="minorEastAsia"/>
          <w:sz w:val="24"/>
          <w:szCs w:val="24"/>
          <w:lang w:val="en-US" w:eastAsia="zh-CN"/>
        </w:rPr>
      </w:pPr>
      <w:bookmarkStart w:id="8" w:name="_Toc19620"/>
      <w:r>
        <w:rPr>
          <w:rFonts w:hint="eastAsia" w:asciiTheme="minorEastAsia" w:hAnsiTheme="minorEastAsia" w:eastAsiaTheme="minorEastAsia" w:cstheme="minorEastAsia"/>
          <w:sz w:val="24"/>
          <w:szCs w:val="24"/>
          <w:lang w:val="en-US" w:eastAsia="zh-CN"/>
        </w:rPr>
        <w:t>2.1.1、随机抽取具体操作</w:t>
      </w:r>
      <w:bookmarkEnd w:id="8"/>
    </w:p>
    <w:p w14:paraId="3FAA97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按文件要求，远程异地评标场地分主场和副场，项目进场受理所在地的评标现场为主场，所在地以外的其他评标现场为副场。副场选择方式通过远程异地评标综合调度系统随机产生，或经行政监督部门同意后也可由招标人直接确定，副场数量不少两个。</w:t>
      </w:r>
    </w:p>
    <w:p w14:paraId="394F7B08">
      <w:pPr>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点击“随机抽取”选择“随机抽取副场”，进入随机抽取详情页，操作如下：</w:t>
      </w:r>
    </w:p>
    <w:p w14:paraId="66A69CDB">
      <w:pPr>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sz w:val="24"/>
          <w:szCs w:val="24"/>
        </w:rPr>
        <w:drawing>
          <wp:inline distT="0" distB="0" distL="114300" distR="114300">
            <wp:extent cx="6434455" cy="2910840"/>
            <wp:effectExtent l="0" t="0" r="4445" b="38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6434455" cy="2910840"/>
                    </a:xfrm>
                    <a:prstGeom prst="rect">
                      <a:avLst/>
                    </a:prstGeom>
                    <a:noFill/>
                    <a:ln>
                      <a:noFill/>
                    </a:ln>
                  </pic:spPr>
                </pic:pic>
              </a:graphicData>
            </a:graphic>
          </wp:inline>
        </w:drawing>
      </w:r>
    </w:p>
    <w:p w14:paraId="0ACD9AF6">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kern w:val="44"/>
          <w:sz w:val="24"/>
          <w:szCs w:val="24"/>
          <w:lang w:val="en-US" w:eastAsia="zh-CN" w:bidi="ar-SA"/>
        </w:rPr>
      </w:pPr>
      <w:r>
        <w:rPr>
          <w:rFonts w:hint="eastAsia" w:asciiTheme="minorEastAsia" w:hAnsiTheme="minorEastAsia" w:eastAsiaTheme="minorEastAsia" w:cstheme="minorEastAsia"/>
          <w:b w:val="0"/>
          <w:bCs/>
          <w:kern w:val="44"/>
          <w:sz w:val="24"/>
          <w:szCs w:val="24"/>
          <w:lang w:val="en-US" w:eastAsia="zh-CN" w:bidi="ar-SA"/>
        </w:rPr>
        <w:t>①“是否盲抽评标地区 ”:选“否”。</w:t>
      </w:r>
    </w:p>
    <w:p w14:paraId="79B11243">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kern w:val="44"/>
          <w:sz w:val="24"/>
          <w:szCs w:val="24"/>
          <w:lang w:val="en-US" w:eastAsia="zh-CN" w:bidi="ar-SA"/>
        </w:rPr>
      </w:pPr>
      <w:r>
        <w:rPr>
          <w:rFonts w:hint="eastAsia" w:asciiTheme="minorEastAsia" w:hAnsiTheme="minorEastAsia" w:eastAsiaTheme="minorEastAsia" w:cstheme="minorEastAsia"/>
          <w:b w:val="0"/>
          <w:bCs/>
          <w:kern w:val="44"/>
          <w:sz w:val="24"/>
          <w:szCs w:val="24"/>
          <w:lang w:val="en-US" w:eastAsia="zh-CN" w:bidi="ar-SA"/>
        </w:rPr>
        <w:t>②副场池：副场池选择“吉林省一体化副场池-地市名称”，各地市副场池由后台工作人员统一维护，请不要删除或修改。</w:t>
      </w:r>
    </w:p>
    <w:p w14:paraId="35DE3DF4">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kern w:val="44"/>
          <w:sz w:val="24"/>
          <w:szCs w:val="24"/>
          <w:lang w:val="en-US" w:eastAsia="zh-CN" w:bidi="ar-SA"/>
        </w:rPr>
      </w:pPr>
      <w:r>
        <w:rPr>
          <w:rFonts w:hint="eastAsia" w:asciiTheme="minorEastAsia" w:hAnsiTheme="minorEastAsia" w:eastAsiaTheme="minorEastAsia" w:cstheme="minorEastAsia"/>
          <w:b w:val="0"/>
          <w:bCs/>
          <w:kern w:val="44"/>
          <w:sz w:val="24"/>
          <w:szCs w:val="24"/>
          <w:lang w:val="en-US" w:eastAsia="zh-CN" w:bidi="ar-SA"/>
        </w:rPr>
        <w:t>③ 所需副场数：下拉框选择需要抽取的副场数量。</w:t>
      </w:r>
    </w:p>
    <w:p w14:paraId="79D971E4">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kern w:val="44"/>
          <w:sz w:val="24"/>
          <w:szCs w:val="24"/>
          <w:lang w:val="en-US" w:eastAsia="zh-CN" w:bidi="ar-SA"/>
        </w:rPr>
      </w:pPr>
      <w:r>
        <w:rPr>
          <w:rFonts w:hint="eastAsia" w:asciiTheme="minorEastAsia" w:hAnsiTheme="minorEastAsia" w:eastAsiaTheme="minorEastAsia" w:cstheme="minorEastAsia"/>
          <w:b w:val="0"/>
          <w:bCs/>
          <w:kern w:val="44"/>
          <w:sz w:val="24"/>
          <w:szCs w:val="24"/>
          <w:lang w:val="en-US" w:eastAsia="zh-CN" w:bidi="ar-SA"/>
        </w:rPr>
        <w:t>④ 业主评委个数：此处无需填写，在新增专业信息中填写业主评委数量，无业主评委填0。</w:t>
      </w:r>
    </w:p>
    <w:p w14:paraId="1B16B070">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kern w:val="44"/>
          <w:sz w:val="24"/>
          <w:szCs w:val="24"/>
          <w:lang w:val="en-US" w:eastAsia="zh-CN" w:bidi="ar-SA"/>
        </w:rPr>
      </w:pPr>
      <w:r>
        <w:rPr>
          <w:rFonts w:hint="eastAsia" w:asciiTheme="minorEastAsia" w:hAnsiTheme="minorEastAsia" w:eastAsiaTheme="minorEastAsia" w:cstheme="minorEastAsia"/>
          <w:b w:val="0"/>
          <w:bCs/>
          <w:kern w:val="44"/>
          <w:sz w:val="24"/>
          <w:szCs w:val="24"/>
          <w:lang w:val="en-US" w:eastAsia="zh-CN" w:bidi="ar-SA"/>
        </w:rPr>
        <w:t>⑤单个副场最多可抽中多少个席位：填写单个副场最多抽取多少专家。</w:t>
      </w:r>
    </w:p>
    <w:p w14:paraId="7057839D">
      <w:pPr>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val="0"/>
          <w:bCs/>
          <w:kern w:val="44"/>
          <w:sz w:val="24"/>
          <w:szCs w:val="24"/>
          <w:lang w:val="en-US" w:eastAsia="zh-CN" w:bidi="ar-SA"/>
        </w:rPr>
      </w:pPr>
      <w:r>
        <w:rPr>
          <w:rFonts w:hint="eastAsia" w:asciiTheme="minorEastAsia" w:hAnsiTheme="minorEastAsia" w:cstheme="minorEastAsia"/>
          <w:b w:val="0"/>
          <w:bCs/>
          <w:kern w:val="44"/>
          <w:sz w:val="24"/>
          <w:szCs w:val="24"/>
          <w:lang w:val="en-US" w:eastAsia="zh-CN" w:bidi="ar-SA"/>
        </w:rPr>
        <w:t>⑥主场是否抽取社会评委：根据项目实际情况确定此项目主场除甲方评委，是否抽取社会评委。</w:t>
      </w:r>
    </w:p>
    <w:p w14:paraId="64645018">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6457950" cy="4411345"/>
            <wp:effectExtent l="0" t="0" r="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6457950" cy="4411345"/>
                    </a:xfrm>
                    <a:prstGeom prst="rect">
                      <a:avLst/>
                    </a:prstGeom>
                    <a:noFill/>
                    <a:ln>
                      <a:noFill/>
                    </a:ln>
                  </pic:spPr>
                </pic:pic>
              </a:graphicData>
            </a:graphic>
          </wp:inline>
        </w:drawing>
      </w:r>
    </w:p>
    <w:p w14:paraId="255A3CF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抽取完成后</w:t>
      </w:r>
      <w:r>
        <w:rPr>
          <w:rFonts w:hint="eastAsia" w:asciiTheme="minorEastAsia" w:hAnsiTheme="minorEastAsia" w:cstheme="minorEastAsia"/>
          <w:kern w:val="2"/>
          <w:sz w:val="24"/>
          <w:szCs w:val="24"/>
          <w:lang w:val="en-US" w:eastAsia="zh-CN" w:bidi="ar-SA"/>
        </w:rPr>
        <w:t>，</w:t>
      </w:r>
      <w:r>
        <w:rPr>
          <w:rFonts w:hint="eastAsia" w:asciiTheme="minorEastAsia" w:hAnsiTheme="minorEastAsia" w:eastAsiaTheme="minorEastAsia" w:cstheme="minorEastAsia"/>
          <w:kern w:val="2"/>
          <w:sz w:val="24"/>
          <w:szCs w:val="24"/>
          <w:lang w:val="en-US" w:eastAsia="zh-CN" w:bidi="ar-SA"/>
        </w:rPr>
        <w:t>联系副场在系统中</w:t>
      </w:r>
      <w:r>
        <w:rPr>
          <w:rFonts w:hint="eastAsia" w:asciiTheme="minorEastAsia" w:hAnsiTheme="minorEastAsia" w:cstheme="minorEastAsia"/>
          <w:kern w:val="2"/>
          <w:sz w:val="24"/>
          <w:szCs w:val="24"/>
          <w:lang w:val="en-US" w:eastAsia="zh-CN" w:bidi="ar-SA"/>
        </w:rPr>
        <w:t>“副场抽取确认”功能下</w:t>
      </w:r>
      <w:r>
        <w:rPr>
          <w:rFonts w:hint="eastAsia" w:asciiTheme="minorEastAsia" w:hAnsiTheme="minorEastAsia" w:eastAsiaTheme="minorEastAsia" w:cstheme="minorEastAsia"/>
          <w:kern w:val="2"/>
          <w:sz w:val="24"/>
          <w:szCs w:val="24"/>
          <w:lang w:val="en-US" w:eastAsia="zh-CN" w:bidi="ar-SA"/>
        </w:rPr>
        <w:t>确认</w:t>
      </w:r>
      <w:r>
        <w:rPr>
          <w:rFonts w:hint="eastAsia" w:asciiTheme="minorEastAsia" w:hAnsiTheme="minorEastAsia" w:cstheme="minorEastAsia"/>
          <w:kern w:val="2"/>
          <w:sz w:val="24"/>
          <w:szCs w:val="24"/>
          <w:lang w:val="en-US" w:eastAsia="zh-CN" w:bidi="ar-SA"/>
        </w:rPr>
        <w:t>。</w:t>
      </w:r>
    </w:p>
    <w:p w14:paraId="2B892E2B">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kern w:val="2"/>
          <w:sz w:val="24"/>
          <w:szCs w:val="24"/>
          <w:lang w:val="en-US" w:eastAsia="zh-CN" w:bidi="ar-SA"/>
        </w:rPr>
      </w:pPr>
      <w:r>
        <w:rPr>
          <w:rFonts w:hint="eastAsia" w:ascii="Times New Roman" w:eastAsia="宋体"/>
          <w:sz w:val="24"/>
          <w:szCs w:val="28"/>
          <w:lang w:val="en-US" w:eastAsia="zh-CN"/>
        </w:rPr>
        <w:t>副场确认完毕后，主场</w:t>
      </w:r>
      <w:r>
        <w:rPr>
          <w:rFonts w:hint="eastAsia" w:asciiTheme="minorEastAsia" w:hAnsiTheme="minorEastAsia" w:cstheme="minorEastAsia"/>
          <w:kern w:val="2"/>
          <w:sz w:val="24"/>
          <w:szCs w:val="24"/>
          <w:lang w:val="en-US" w:eastAsia="zh-CN" w:bidi="ar-SA"/>
        </w:rPr>
        <w:t>进入“双随机抽取”菜单下，点击“开始组建”按钮，点击“手动抽取成功”，完成副场抽取流程。</w:t>
      </w:r>
    </w:p>
    <w:p w14:paraId="407928F2">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kern w:val="2"/>
          <w:sz w:val="24"/>
          <w:szCs w:val="24"/>
          <w:lang w:val="en-US" w:eastAsia="zh-CN" w:bidi="ar-SA"/>
        </w:rPr>
      </w:pPr>
      <w:r>
        <w:rPr>
          <w:rFonts w:hint="default" w:asciiTheme="minorEastAsia" w:hAnsiTheme="minorEastAsia" w:cstheme="minorEastAsia"/>
          <w:kern w:val="2"/>
          <w:sz w:val="24"/>
          <w:szCs w:val="24"/>
          <w:lang w:val="en-US" w:eastAsia="zh-CN" w:bidi="ar-SA"/>
        </w:rPr>
        <w:drawing>
          <wp:inline distT="0" distB="0" distL="114300" distR="114300">
            <wp:extent cx="6635115" cy="2011045"/>
            <wp:effectExtent l="0" t="0" r="13335" b="8255"/>
            <wp:docPr id="25" name="图片 25" descr="172855006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28550062652"/>
                    <pic:cNvPicPr>
                      <a:picLocks noChangeAspect="1"/>
                    </pic:cNvPicPr>
                  </pic:nvPicPr>
                  <pic:blipFill>
                    <a:blip r:embed="rId14"/>
                    <a:stretch>
                      <a:fillRect/>
                    </a:stretch>
                  </pic:blipFill>
                  <pic:spPr>
                    <a:xfrm>
                      <a:off x="0" y="0"/>
                      <a:ext cx="6635115" cy="2011045"/>
                    </a:xfrm>
                    <a:prstGeom prst="rect">
                      <a:avLst/>
                    </a:prstGeom>
                  </pic:spPr>
                </pic:pic>
              </a:graphicData>
            </a:graphic>
          </wp:inline>
        </w:drawing>
      </w:r>
    </w:p>
    <w:p w14:paraId="017512AC">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rPr>
      </w:pPr>
      <w:r>
        <w:drawing>
          <wp:inline distT="0" distB="0" distL="114300" distR="114300">
            <wp:extent cx="6725920" cy="3389630"/>
            <wp:effectExtent l="0" t="0" r="17780"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5"/>
                    <a:stretch>
                      <a:fillRect/>
                    </a:stretch>
                  </pic:blipFill>
                  <pic:spPr>
                    <a:xfrm>
                      <a:off x="0" y="0"/>
                      <a:ext cx="6725920" cy="3389630"/>
                    </a:xfrm>
                    <a:prstGeom prst="rect">
                      <a:avLst/>
                    </a:prstGeom>
                    <a:noFill/>
                    <a:ln>
                      <a:noFill/>
                    </a:ln>
                  </pic:spPr>
                </pic:pic>
              </a:graphicData>
            </a:graphic>
          </wp:inline>
        </w:drawing>
      </w:r>
    </w:p>
    <w:p w14:paraId="2B100364">
      <w:pPr>
        <w:pStyle w:val="6"/>
        <w:pageBreakBefore w:val="0"/>
        <w:widowControl w:val="0"/>
        <w:kinsoku/>
        <w:wordWrap/>
        <w:overflowPunct/>
        <w:topLinePunct w:val="0"/>
        <w:autoSpaceDE/>
        <w:autoSpaceDN/>
        <w:bidi w:val="0"/>
        <w:adjustRightInd/>
        <w:snapToGrid/>
        <w:spacing w:line="360" w:lineRule="auto"/>
        <w:textAlignment w:val="auto"/>
        <w:outlineLvl w:val="3"/>
        <w:rPr>
          <w:rFonts w:hint="eastAsia" w:asciiTheme="minorEastAsia" w:hAnsiTheme="minorEastAsia" w:eastAsiaTheme="minorEastAsia" w:cstheme="minorEastAsia"/>
          <w:sz w:val="24"/>
          <w:szCs w:val="24"/>
          <w:lang w:val="en-US" w:eastAsia="zh-CN"/>
        </w:rPr>
      </w:pPr>
      <w:bookmarkStart w:id="9" w:name="_Toc30189"/>
      <w:r>
        <w:rPr>
          <w:rFonts w:hint="eastAsia" w:asciiTheme="minorEastAsia" w:hAnsiTheme="minorEastAsia" w:eastAsiaTheme="minorEastAsia" w:cstheme="minorEastAsia"/>
          <w:sz w:val="24"/>
          <w:szCs w:val="24"/>
          <w:lang w:val="en-US" w:eastAsia="zh-CN"/>
        </w:rPr>
        <w:t>2.1.2、查看副场抽取情况</w:t>
      </w:r>
      <w:bookmarkEnd w:id="9"/>
    </w:p>
    <w:p w14:paraId="5AC63210">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副场确认后，点击“</w:t>
      </w:r>
      <w:r>
        <w:rPr>
          <w:rFonts w:hint="eastAsia" w:asciiTheme="minorEastAsia" w:hAnsiTheme="minorEastAsia" w:cstheme="minorEastAsia"/>
          <w:kern w:val="2"/>
          <w:sz w:val="24"/>
          <w:szCs w:val="24"/>
          <w:lang w:val="en-US" w:eastAsia="zh-CN" w:bidi="ar-SA"/>
        </w:rPr>
        <w:t>双随机抽取</w:t>
      </w:r>
      <w:r>
        <w:rPr>
          <w:rFonts w:hint="eastAsia" w:asciiTheme="minorEastAsia" w:hAnsiTheme="minorEastAsia" w:eastAsiaTheme="minorEastAsia" w:cstheme="minorEastAsia"/>
          <w:kern w:val="2"/>
          <w:sz w:val="24"/>
          <w:szCs w:val="24"/>
          <w:lang w:val="en-US" w:eastAsia="zh-CN" w:bidi="ar-SA"/>
        </w:rPr>
        <w:t>”中的“抽取状态”按钮，查看</w:t>
      </w:r>
      <w:r>
        <w:rPr>
          <w:rFonts w:hint="eastAsia" w:asciiTheme="minorEastAsia" w:hAnsiTheme="minorEastAsia" w:cstheme="minorEastAsia"/>
          <w:kern w:val="2"/>
          <w:sz w:val="24"/>
          <w:szCs w:val="24"/>
          <w:lang w:val="en-US" w:eastAsia="zh-CN" w:bidi="ar-SA"/>
        </w:rPr>
        <w:t>副场</w:t>
      </w:r>
      <w:r>
        <w:rPr>
          <w:rFonts w:hint="eastAsia" w:asciiTheme="minorEastAsia" w:hAnsiTheme="minorEastAsia" w:eastAsiaTheme="minorEastAsia" w:cstheme="minorEastAsia"/>
          <w:kern w:val="2"/>
          <w:sz w:val="24"/>
          <w:szCs w:val="24"/>
          <w:lang w:val="en-US" w:eastAsia="zh-CN" w:bidi="ar-SA"/>
        </w:rPr>
        <w:t>抽取</w:t>
      </w:r>
      <w:r>
        <w:rPr>
          <w:rFonts w:hint="eastAsia" w:asciiTheme="minorEastAsia" w:hAnsiTheme="minorEastAsia" w:cstheme="minorEastAsia"/>
          <w:kern w:val="2"/>
          <w:sz w:val="24"/>
          <w:szCs w:val="24"/>
          <w:lang w:val="en-US" w:eastAsia="zh-CN" w:bidi="ar-SA"/>
        </w:rPr>
        <w:t>情况</w:t>
      </w:r>
    </w:p>
    <w:p w14:paraId="11D819BA">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drawing>
          <wp:inline distT="0" distB="0" distL="114300" distR="114300">
            <wp:extent cx="6588760" cy="2584450"/>
            <wp:effectExtent l="0" t="0" r="2540" b="6350"/>
            <wp:docPr id="36" name="图片 36" descr="172724274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7242742298"/>
                    <pic:cNvPicPr>
                      <a:picLocks noChangeAspect="1"/>
                    </pic:cNvPicPr>
                  </pic:nvPicPr>
                  <pic:blipFill>
                    <a:blip r:embed="rId16"/>
                    <a:stretch>
                      <a:fillRect/>
                    </a:stretch>
                  </pic:blipFill>
                  <pic:spPr>
                    <a:xfrm>
                      <a:off x="0" y="0"/>
                      <a:ext cx="6588760" cy="2584450"/>
                    </a:xfrm>
                    <a:prstGeom prst="rect">
                      <a:avLst/>
                    </a:prstGeom>
                  </pic:spPr>
                </pic:pic>
              </a:graphicData>
            </a:graphic>
          </wp:inline>
        </w:drawing>
      </w:r>
    </w:p>
    <w:p w14:paraId="2D3D5C05">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kern w:val="2"/>
          <w:sz w:val="24"/>
          <w:szCs w:val="24"/>
          <w:lang w:val="en-US" w:eastAsia="zh-CN" w:bidi="ar-SA"/>
        </w:rPr>
      </w:pPr>
    </w:p>
    <w:p w14:paraId="0A23CA08">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kern w:val="2"/>
          <w:sz w:val="24"/>
          <w:szCs w:val="24"/>
          <w:lang w:val="en-US" w:eastAsia="zh-CN" w:bidi="ar-SA"/>
        </w:rPr>
      </w:pPr>
      <w:r>
        <w:drawing>
          <wp:inline distT="0" distB="0" distL="114300" distR="114300">
            <wp:extent cx="6628765" cy="3321050"/>
            <wp:effectExtent l="0" t="0" r="635" b="1270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7"/>
                    <a:stretch>
                      <a:fillRect/>
                    </a:stretch>
                  </pic:blipFill>
                  <pic:spPr>
                    <a:xfrm>
                      <a:off x="0" y="0"/>
                      <a:ext cx="6628765" cy="3321050"/>
                    </a:xfrm>
                    <a:prstGeom prst="rect">
                      <a:avLst/>
                    </a:prstGeom>
                    <a:noFill/>
                    <a:ln>
                      <a:noFill/>
                    </a:ln>
                  </pic:spPr>
                </pic:pic>
              </a:graphicData>
            </a:graphic>
          </wp:inline>
        </w:drawing>
      </w:r>
    </w:p>
    <w:p w14:paraId="1BE69134">
      <w:pPr>
        <w:pStyle w:val="6"/>
        <w:pageBreakBefore w:val="0"/>
        <w:widowControl w:val="0"/>
        <w:kinsoku/>
        <w:wordWrap/>
        <w:overflowPunct/>
        <w:topLinePunct w:val="0"/>
        <w:autoSpaceDE/>
        <w:autoSpaceDN/>
        <w:bidi w:val="0"/>
        <w:adjustRightInd/>
        <w:snapToGrid/>
        <w:spacing w:line="360" w:lineRule="auto"/>
        <w:textAlignment w:val="auto"/>
        <w:outlineLvl w:val="3"/>
        <w:rPr>
          <w:rFonts w:hint="eastAsia" w:asciiTheme="minorEastAsia" w:hAnsiTheme="minorEastAsia" w:eastAsiaTheme="minorEastAsia" w:cstheme="minorEastAsia"/>
          <w:sz w:val="24"/>
          <w:szCs w:val="24"/>
          <w:lang w:val="en-US" w:eastAsia="zh-CN"/>
        </w:rPr>
      </w:pPr>
      <w:bookmarkStart w:id="10" w:name="_Toc16468"/>
      <w:r>
        <w:rPr>
          <w:rFonts w:hint="eastAsia" w:asciiTheme="minorEastAsia" w:hAnsiTheme="minorEastAsia" w:eastAsiaTheme="minorEastAsia" w:cstheme="minorEastAsia"/>
          <w:sz w:val="24"/>
          <w:szCs w:val="24"/>
          <w:lang w:val="en-US" w:eastAsia="zh-CN"/>
        </w:rPr>
        <w:t>2.1.3、补抽副场</w:t>
      </w:r>
      <w:bookmarkEnd w:id="10"/>
    </w:p>
    <w:p w14:paraId="06D2A5D4">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存在</w:t>
      </w:r>
      <w:r>
        <w:rPr>
          <w:rFonts w:hint="eastAsia" w:asciiTheme="minorEastAsia" w:hAnsiTheme="minorEastAsia" w:cstheme="minorEastAsia"/>
          <w:kern w:val="2"/>
          <w:sz w:val="24"/>
          <w:szCs w:val="24"/>
          <w:lang w:val="en-US" w:eastAsia="zh-CN" w:bidi="ar-SA"/>
        </w:rPr>
        <w:t>副场</w:t>
      </w:r>
      <w:r>
        <w:rPr>
          <w:rFonts w:hint="eastAsia" w:asciiTheme="minorEastAsia" w:hAnsiTheme="minorEastAsia" w:eastAsiaTheme="minorEastAsia" w:cstheme="minorEastAsia"/>
          <w:kern w:val="2"/>
          <w:sz w:val="24"/>
          <w:szCs w:val="24"/>
          <w:lang w:val="en-US" w:eastAsia="zh-CN" w:bidi="ar-SA"/>
        </w:rPr>
        <w:t>某交易中心</w:t>
      </w:r>
      <w:r>
        <w:rPr>
          <w:rFonts w:hint="eastAsia" w:asciiTheme="minorEastAsia" w:hAnsiTheme="minorEastAsia" w:cstheme="minorEastAsia"/>
          <w:kern w:val="2"/>
          <w:sz w:val="24"/>
          <w:szCs w:val="24"/>
          <w:lang w:val="en-US" w:eastAsia="zh-CN" w:bidi="ar-SA"/>
        </w:rPr>
        <w:t>拒绝参加，</w:t>
      </w:r>
      <w:r>
        <w:rPr>
          <w:rFonts w:hint="eastAsia" w:asciiTheme="minorEastAsia" w:hAnsiTheme="minorEastAsia" w:eastAsiaTheme="minorEastAsia" w:cstheme="minorEastAsia"/>
          <w:kern w:val="2"/>
          <w:sz w:val="24"/>
          <w:szCs w:val="24"/>
          <w:lang w:val="en-US" w:eastAsia="zh-CN" w:bidi="ar-SA"/>
        </w:rPr>
        <w:t>无法提供足够的专家或席位时</w:t>
      </w:r>
      <w:r>
        <w:rPr>
          <w:rFonts w:hint="eastAsia" w:asciiTheme="minorEastAsia" w:hAnsiTheme="minorEastAsia" w:cstheme="minorEastAsia"/>
          <w:kern w:val="2"/>
          <w:sz w:val="24"/>
          <w:szCs w:val="24"/>
          <w:lang w:val="en-US" w:eastAsia="zh-CN" w:bidi="ar-SA"/>
        </w:rPr>
        <w:t>，主场需</w:t>
      </w:r>
      <w:r>
        <w:rPr>
          <w:rFonts w:hint="eastAsia" w:asciiTheme="minorEastAsia" w:hAnsiTheme="minorEastAsia" w:eastAsiaTheme="minorEastAsia" w:cstheme="minorEastAsia"/>
          <w:kern w:val="2"/>
          <w:sz w:val="24"/>
          <w:szCs w:val="24"/>
          <w:lang w:val="en-US" w:eastAsia="zh-CN" w:bidi="ar-SA"/>
        </w:rPr>
        <w:t>进行补抽</w:t>
      </w:r>
      <w:r>
        <w:rPr>
          <w:rFonts w:hint="eastAsia" w:asciiTheme="minorEastAsia" w:hAnsiTheme="minorEastAsia" w:cstheme="minorEastAsia"/>
          <w:kern w:val="2"/>
          <w:sz w:val="24"/>
          <w:szCs w:val="24"/>
          <w:lang w:val="en-US" w:eastAsia="zh-CN" w:bidi="ar-SA"/>
        </w:rPr>
        <w:t>，补抽后再次由副场在易彩虹中确认</w:t>
      </w:r>
      <w:r>
        <w:rPr>
          <w:rFonts w:hint="eastAsia" w:asciiTheme="minorEastAsia" w:hAnsiTheme="minorEastAsia" w:eastAsiaTheme="minorEastAsia" w:cstheme="minorEastAsia"/>
          <w:kern w:val="2"/>
          <w:sz w:val="24"/>
          <w:szCs w:val="24"/>
          <w:lang w:val="en-US" w:eastAsia="zh-CN" w:bidi="ar-SA"/>
        </w:rPr>
        <w:t>。</w:t>
      </w:r>
    </w:p>
    <w:p w14:paraId="7BDAC300">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kern w:val="2"/>
          <w:sz w:val="24"/>
          <w:szCs w:val="24"/>
          <w:lang w:val="en-US" w:eastAsia="zh-CN" w:bidi="ar-SA"/>
        </w:rPr>
        <w:t>若项目抽取完毕后，有副场再反馈无法参加的，需联系系统运维人员处理，运维人员列表见操作手册第六章节。</w:t>
      </w:r>
    </w:p>
    <w:p w14:paraId="63B70827">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FF0000"/>
          <w:sz w:val="24"/>
          <w:szCs w:val="24"/>
          <w:lang w:val="en-US" w:eastAsia="zh-CN"/>
        </w:rPr>
      </w:pPr>
      <w:r>
        <w:drawing>
          <wp:inline distT="0" distB="0" distL="114300" distR="114300">
            <wp:extent cx="6471920" cy="4001135"/>
            <wp:effectExtent l="0" t="0" r="5080" b="184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8"/>
                    <a:stretch>
                      <a:fillRect/>
                    </a:stretch>
                  </pic:blipFill>
                  <pic:spPr>
                    <a:xfrm>
                      <a:off x="0" y="0"/>
                      <a:ext cx="6471920" cy="4001135"/>
                    </a:xfrm>
                    <a:prstGeom prst="rect">
                      <a:avLst/>
                    </a:prstGeom>
                    <a:noFill/>
                    <a:ln>
                      <a:noFill/>
                    </a:ln>
                  </pic:spPr>
                </pic:pic>
              </a:graphicData>
            </a:graphic>
          </wp:inline>
        </w:drawing>
      </w:r>
    </w:p>
    <w:p w14:paraId="3541B98F">
      <w:pPr>
        <w:pStyle w:val="6"/>
        <w:pageBreakBefore w:val="0"/>
        <w:widowControl w:val="0"/>
        <w:kinsoku/>
        <w:wordWrap/>
        <w:overflowPunct/>
        <w:topLinePunct w:val="0"/>
        <w:autoSpaceDE/>
        <w:autoSpaceDN/>
        <w:bidi w:val="0"/>
        <w:adjustRightInd/>
        <w:snapToGrid/>
        <w:spacing w:line="360" w:lineRule="auto"/>
        <w:textAlignment w:val="auto"/>
        <w:outlineLvl w:val="3"/>
        <w:rPr>
          <w:rFonts w:hint="eastAsia" w:asciiTheme="minorEastAsia" w:hAnsiTheme="minorEastAsia" w:eastAsiaTheme="minorEastAsia" w:cstheme="minorEastAsia"/>
          <w:sz w:val="24"/>
          <w:szCs w:val="24"/>
          <w:lang w:val="en-US" w:eastAsia="zh-CN"/>
        </w:rPr>
      </w:pPr>
      <w:bookmarkStart w:id="11" w:name="_Toc7694"/>
      <w:r>
        <w:rPr>
          <w:rFonts w:hint="eastAsia" w:asciiTheme="minorEastAsia" w:hAnsiTheme="minorEastAsia" w:eastAsiaTheme="minorEastAsia" w:cstheme="minorEastAsia"/>
          <w:sz w:val="24"/>
          <w:szCs w:val="24"/>
          <w:lang w:val="en-US" w:eastAsia="zh-CN"/>
        </w:rPr>
        <w:t>2.1.4、项目组建</w:t>
      </w:r>
      <w:bookmarkEnd w:id="11"/>
    </w:p>
    <w:p w14:paraId="1C3A3800">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副场抽取完成/指定完成后，点击“远程评标→项目组建”可进入项目详情页面</w:t>
      </w:r>
    </w:p>
    <w:p w14:paraId="11EE9703">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6529070" cy="2557145"/>
            <wp:effectExtent l="0" t="0" r="5080" b="1460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19"/>
                    <a:stretch>
                      <a:fillRect/>
                    </a:stretch>
                  </pic:blipFill>
                  <pic:spPr>
                    <a:xfrm>
                      <a:off x="0" y="0"/>
                      <a:ext cx="6529070" cy="2557145"/>
                    </a:xfrm>
                    <a:prstGeom prst="rect">
                      <a:avLst/>
                    </a:prstGeom>
                    <a:noFill/>
                    <a:ln>
                      <a:noFill/>
                    </a:ln>
                  </pic:spPr>
                </pic:pic>
              </a:graphicData>
            </a:graphic>
          </wp:inline>
        </w:drawing>
      </w:r>
    </w:p>
    <w:p w14:paraId="48B26A8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随机抽取完成后，专家抽取申请会在易彩虹平台进行自动组建，自动组建后，代理即可在用户端-“评标专家抽取申请”页面下看到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编辑中</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的专家抽取申请。</w:t>
      </w:r>
    </w:p>
    <w:p w14:paraId="2B090E6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若抽取多个副场，系统会产生多条专家抽取申请，都需要分别设定主副场所需抽取的评委数量和专业后提交审核。</w:t>
      </w:r>
    </w:p>
    <w:p w14:paraId="73A24940">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i w:val="0"/>
          <w:iCs w:val="0"/>
          <w:color w:val="FF0000"/>
          <w:sz w:val="20"/>
          <w:szCs w:val="20"/>
          <w:u w:val="single"/>
          <w:lang w:val="en-US" w:eastAsia="zh-CN"/>
        </w:rPr>
      </w:pPr>
      <w:r>
        <w:rPr>
          <w:rFonts w:hint="eastAsia" w:asciiTheme="minorEastAsia" w:hAnsiTheme="minorEastAsia" w:cstheme="minorEastAsia"/>
          <w:i w:val="0"/>
          <w:iCs w:val="0"/>
          <w:color w:val="FF0000"/>
          <w:sz w:val="20"/>
          <w:szCs w:val="20"/>
          <w:u w:val="single"/>
          <w:lang w:val="en-US" w:eastAsia="zh-CN"/>
        </w:rPr>
        <w:t>举例：若项目抽取两个副场，此时，业务系统中会生成三条专家抽取申请，主场一条，副场各一条。</w:t>
      </w:r>
    </w:p>
    <w:p w14:paraId="24CF6219">
      <w:pPr>
        <w:pStyle w:val="5"/>
        <w:bidi w:val="0"/>
        <w:rPr>
          <w:rFonts w:hint="default"/>
          <w:lang w:val="en-US" w:eastAsia="zh-CN"/>
        </w:rPr>
      </w:pPr>
      <w:bookmarkStart w:id="12" w:name="_Toc24321"/>
      <w:r>
        <w:rPr>
          <w:rFonts w:hint="eastAsia"/>
          <w:lang w:val="en-US" w:eastAsia="zh-CN"/>
        </w:rPr>
        <w:t>2.1.5、补推专家抽取申请</w:t>
      </w:r>
      <w:bookmarkEnd w:id="12"/>
    </w:p>
    <w:p w14:paraId="7EBB81B3">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i w:val="0"/>
          <w:iCs w:val="0"/>
          <w:color w:val="FF0000"/>
          <w:sz w:val="20"/>
          <w:szCs w:val="20"/>
          <w:u w:val="single"/>
          <w:lang w:val="en-US" w:eastAsia="zh-CN"/>
        </w:rPr>
      </w:pPr>
      <w:r>
        <w:rPr>
          <w:rFonts w:hint="eastAsia" w:asciiTheme="minorEastAsia" w:hAnsiTheme="minorEastAsia" w:eastAsiaTheme="minorEastAsia" w:cstheme="minorEastAsia"/>
          <w:sz w:val="24"/>
          <w:szCs w:val="24"/>
          <w:lang w:val="en-US" w:eastAsia="zh-CN"/>
        </w:rPr>
        <w:t>若缺少专家抽取申请，可由工作人员在双随机抽取页面点击“重新推送专家抽取申请”按钮，补推专家抽取申请。</w:t>
      </w:r>
    </w:p>
    <w:p w14:paraId="0FA13143">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EastAsia"/>
          <w:i w:val="0"/>
          <w:iCs w:val="0"/>
          <w:color w:val="FF0000"/>
          <w:sz w:val="20"/>
          <w:szCs w:val="20"/>
          <w:u w:val="single"/>
          <w:lang w:val="en-US" w:eastAsia="zh-CN"/>
        </w:rPr>
      </w:pPr>
      <w:r>
        <w:drawing>
          <wp:inline distT="0" distB="0" distL="114300" distR="114300">
            <wp:extent cx="6543675" cy="3025140"/>
            <wp:effectExtent l="0" t="0" r="9525" b="381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0"/>
                    <a:stretch>
                      <a:fillRect/>
                    </a:stretch>
                  </pic:blipFill>
                  <pic:spPr>
                    <a:xfrm>
                      <a:off x="0" y="0"/>
                      <a:ext cx="6543675" cy="3025140"/>
                    </a:xfrm>
                    <a:prstGeom prst="rect">
                      <a:avLst/>
                    </a:prstGeom>
                    <a:noFill/>
                    <a:ln>
                      <a:noFill/>
                    </a:ln>
                  </pic:spPr>
                </pic:pic>
              </a:graphicData>
            </a:graphic>
          </wp:inline>
        </w:drawing>
      </w:r>
    </w:p>
    <w:p w14:paraId="564CE85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开标</w:t>
      </w:r>
      <w:r>
        <w:rPr>
          <w:rFonts w:hint="eastAsia" w:asciiTheme="minorEastAsia" w:hAnsiTheme="minorEastAsia" w:cstheme="minorEastAsia"/>
          <w:sz w:val="24"/>
          <w:szCs w:val="24"/>
          <w:lang w:val="en-US" w:eastAsia="zh-CN"/>
        </w:rPr>
        <w:t>结束</w:t>
      </w:r>
      <w:r>
        <w:rPr>
          <w:rFonts w:hint="eastAsia" w:asciiTheme="minorEastAsia" w:hAnsiTheme="minorEastAsia" w:eastAsiaTheme="minorEastAsia" w:cstheme="minorEastAsia"/>
          <w:sz w:val="24"/>
          <w:szCs w:val="24"/>
          <w:lang w:val="en-US" w:eastAsia="zh-CN"/>
        </w:rPr>
        <w:t>后，由主副场分别抽取各自专家</w:t>
      </w:r>
      <w:r>
        <w:rPr>
          <w:rFonts w:hint="eastAsia" w:asciiTheme="minorEastAsia" w:hAnsiTheme="minorEastAsia" w:cstheme="minorEastAsia"/>
          <w:sz w:val="24"/>
          <w:szCs w:val="24"/>
          <w:lang w:val="en-US" w:eastAsia="zh-CN"/>
        </w:rPr>
        <w:t>，抽取完成后系统自动同步至</w:t>
      </w:r>
      <w:r>
        <w:rPr>
          <w:rFonts w:hint="eastAsia" w:asciiTheme="minorEastAsia" w:hAnsiTheme="minorEastAsia" w:eastAsiaTheme="minorEastAsia" w:cstheme="minorEastAsia"/>
          <w:sz w:val="24"/>
          <w:szCs w:val="24"/>
          <w:lang w:val="en-US" w:eastAsia="zh-CN"/>
        </w:rPr>
        <w:t>易彩虹</w:t>
      </w:r>
      <w:r>
        <w:rPr>
          <w:rFonts w:hint="eastAsia" w:asciiTheme="minorEastAsia" w:hAnsiTheme="minorEastAsia" w:cstheme="minorEastAsia"/>
          <w:sz w:val="24"/>
          <w:szCs w:val="24"/>
          <w:lang w:val="en-US" w:eastAsia="zh-CN"/>
        </w:rPr>
        <w:t>平台</w:t>
      </w:r>
      <w:r>
        <w:rPr>
          <w:rFonts w:hint="eastAsia" w:asciiTheme="minorEastAsia" w:hAnsiTheme="minorEastAsia" w:eastAsiaTheme="minorEastAsia" w:cstheme="minorEastAsia"/>
          <w:sz w:val="24"/>
          <w:szCs w:val="24"/>
          <w:lang w:val="en-US" w:eastAsia="zh-CN"/>
        </w:rPr>
        <w:t>。</w:t>
      </w:r>
    </w:p>
    <w:p w14:paraId="351C1AB7">
      <w:pPr>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Theme="minorEastAsia" w:hAnsiTheme="minorEastAsia" w:eastAsiaTheme="minorEastAsia" w:cstheme="minorEastAsia"/>
          <w:b w:val="0"/>
          <w:bCs w:val="0"/>
          <w:i/>
          <w:iCs/>
          <w:color w:val="FF0000"/>
          <w:sz w:val="21"/>
          <w:szCs w:val="21"/>
          <w:u w:val="single"/>
          <w:lang w:val="en-US" w:eastAsia="zh-CN"/>
        </w:rPr>
      </w:pPr>
      <w:r>
        <w:rPr>
          <w:rFonts w:hint="eastAsia" w:asciiTheme="minorEastAsia" w:hAnsiTheme="minorEastAsia" w:eastAsiaTheme="minorEastAsia" w:cstheme="minorEastAsia"/>
          <w:b w:val="0"/>
          <w:bCs w:val="0"/>
          <w:i/>
          <w:iCs/>
          <w:color w:val="FF0000"/>
          <w:sz w:val="21"/>
          <w:szCs w:val="21"/>
          <w:u w:val="single"/>
          <w:lang w:val="en-US" w:eastAsia="zh-CN"/>
        </w:rPr>
        <w:t>注意：若主场只有甲方评委，主场专家抽取申请专业人数填写0即可，开标后无需抽取主场专家。</w:t>
      </w:r>
    </w:p>
    <w:p w14:paraId="7ABC502A">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595745" cy="2938780"/>
            <wp:effectExtent l="0" t="0" r="14605" b="1397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21"/>
                    <a:stretch>
                      <a:fillRect/>
                    </a:stretch>
                  </pic:blipFill>
                  <pic:spPr>
                    <a:xfrm>
                      <a:off x="0" y="0"/>
                      <a:ext cx="6595745" cy="2938780"/>
                    </a:xfrm>
                    <a:prstGeom prst="rect">
                      <a:avLst/>
                    </a:prstGeom>
                    <a:noFill/>
                    <a:ln>
                      <a:noFill/>
                    </a:ln>
                  </pic:spPr>
                </pic:pic>
              </a:graphicData>
            </a:graphic>
          </wp:inline>
        </w:drawing>
      </w:r>
    </w:p>
    <w:p w14:paraId="158EBB25">
      <w:pPr>
        <w:pStyle w:val="6"/>
        <w:pageBreakBefore w:val="0"/>
        <w:widowControl w:val="0"/>
        <w:kinsoku/>
        <w:wordWrap/>
        <w:overflowPunct/>
        <w:topLinePunct w:val="0"/>
        <w:autoSpaceDE/>
        <w:autoSpaceDN/>
        <w:bidi w:val="0"/>
        <w:adjustRightInd/>
        <w:snapToGrid/>
        <w:spacing w:line="360" w:lineRule="auto"/>
        <w:textAlignment w:val="auto"/>
        <w:outlineLvl w:val="3"/>
        <w:rPr>
          <w:rFonts w:hint="default" w:asciiTheme="minorEastAsia" w:hAnsiTheme="minorEastAsia" w:eastAsiaTheme="minorEastAsia" w:cstheme="minorEastAsia"/>
          <w:sz w:val="24"/>
          <w:szCs w:val="24"/>
          <w:lang w:val="en-US" w:eastAsia="zh-CN"/>
        </w:rPr>
      </w:pPr>
      <w:bookmarkStart w:id="13" w:name="_Toc6899"/>
      <w:r>
        <w:rPr>
          <w:rFonts w:hint="eastAsia" w:asciiTheme="minorEastAsia" w:hAnsiTheme="minorEastAsia" w:eastAsiaTheme="minorEastAsia" w:cstheme="minorEastAsia"/>
          <w:sz w:val="24"/>
          <w:szCs w:val="24"/>
          <w:lang w:val="en-US" w:eastAsia="zh-CN"/>
        </w:rPr>
        <w:t>2.1.5.主场专家抽取</w:t>
      </w:r>
      <w:r>
        <w:rPr>
          <w:rFonts w:hint="eastAsia" w:asciiTheme="minorEastAsia" w:hAnsiTheme="minorEastAsia" w:cstheme="minorEastAsia"/>
          <w:sz w:val="24"/>
          <w:szCs w:val="24"/>
          <w:lang w:val="en-US" w:eastAsia="zh-CN"/>
        </w:rPr>
        <w:t>并同步至易彩虹系统</w:t>
      </w:r>
      <w:bookmarkEnd w:id="13"/>
    </w:p>
    <w:p w14:paraId="4B7AE1A6">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开标结束</w:t>
      </w:r>
      <w:r>
        <w:rPr>
          <w:rFonts w:hint="eastAsia" w:asciiTheme="minorEastAsia" w:hAnsiTheme="minorEastAsia" w:eastAsiaTheme="minorEastAsia" w:cstheme="minorEastAsia"/>
          <w:sz w:val="24"/>
          <w:szCs w:val="24"/>
          <w:lang w:val="en-US" w:eastAsia="zh-CN"/>
        </w:rPr>
        <w:t>后，主副场分别抽取各自评委，</w:t>
      </w:r>
      <w:r>
        <w:rPr>
          <w:rFonts w:hint="eastAsia" w:asciiTheme="minorEastAsia" w:hAnsiTheme="minorEastAsia" w:eastAsiaTheme="minorEastAsia" w:cstheme="minorEastAsia"/>
          <w:b/>
          <w:bCs/>
          <w:color w:val="FF0000"/>
          <w:sz w:val="24"/>
          <w:szCs w:val="24"/>
          <w:lang w:val="en-US" w:eastAsia="zh-CN"/>
        </w:rPr>
        <w:t>抽取完毕后在</w:t>
      </w:r>
      <w:r>
        <w:rPr>
          <w:rFonts w:hint="eastAsia" w:asciiTheme="minorEastAsia" w:hAnsiTheme="minorEastAsia" w:eastAsiaTheme="minorEastAsia" w:cstheme="minorEastAsia"/>
          <w:b/>
          <w:bCs/>
          <w:color w:val="FF0000"/>
          <w:sz w:val="24"/>
          <w:szCs w:val="24"/>
          <w:highlight w:val="none"/>
          <w:lang w:val="en-US" w:eastAsia="zh-CN"/>
        </w:rPr>
        <w:t>评标</w:t>
      </w:r>
      <w:r>
        <w:rPr>
          <w:rFonts w:hint="eastAsia" w:asciiTheme="minorEastAsia" w:hAnsiTheme="minorEastAsia" w:cstheme="minorEastAsia"/>
          <w:b/>
          <w:bCs/>
          <w:color w:val="FF0000"/>
          <w:sz w:val="24"/>
          <w:szCs w:val="24"/>
          <w:highlight w:val="none"/>
          <w:lang w:val="en-US" w:eastAsia="zh-CN"/>
        </w:rPr>
        <w:t>开始</w:t>
      </w:r>
      <w:r>
        <w:rPr>
          <w:rFonts w:hint="eastAsia" w:asciiTheme="minorEastAsia" w:hAnsiTheme="minorEastAsia" w:eastAsiaTheme="minorEastAsia" w:cstheme="minorEastAsia"/>
          <w:b/>
          <w:bCs/>
          <w:color w:val="FF0000"/>
          <w:sz w:val="24"/>
          <w:szCs w:val="24"/>
          <w:highlight w:val="none"/>
          <w:lang w:val="en-US" w:eastAsia="zh-CN"/>
        </w:rPr>
        <w:t>前</w:t>
      </w:r>
      <w:r>
        <w:rPr>
          <w:rFonts w:hint="eastAsia" w:asciiTheme="minorEastAsia" w:hAnsiTheme="minorEastAsia" w:cstheme="minorEastAsia"/>
          <w:b/>
          <w:bCs/>
          <w:color w:val="FF0000"/>
          <w:sz w:val="24"/>
          <w:szCs w:val="24"/>
          <w:highlight w:val="none"/>
          <w:lang w:val="en-US" w:eastAsia="zh-CN"/>
        </w:rPr>
        <w:t>半个小时，自动同步专家至易彩虹平台，无需手动录入。评标开始时间以专家抽取系统中设置的评标开始时间为准。甲方评委需公布主场专家名单后，再手动录入。</w:t>
      </w:r>
    </w:p>
    <w:p w14:paraId="04B0FC05">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320155" cy="7414895"/>
            <wp:effectExtent l="0" t="0" r="4445" b="146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2"/>
                    <a:stretch>
                      <a:fillRect/>
                    </a:stretch>
                  </pic:blipFill>
                  <pic:spPr>
                    <a:xfrm>
                      <a:off x="0" y="0"/>
                      <a:ext cx="6320155" cy="7414895"/>
                    </a:xfrm>
                    <a:prstGeom prst="rect">
                      <a:avLst/>
                    </a:prstGeom>
                    <a:noFill/>
                    <a:ln>
                      <a:noFill/>
                    </a:ln>
                  </pic:spPr>
                </pic:pic>
              </a:graphicData>
            </a:graphic>
          </wp:inline>
        </w:drawing>
      </w:r>
    </w:p>
    <w:p w14:paraId="06E5E696">
      <w:pPr>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b/>
          <w:bCs/>
          <w:color w:val="FF0000"/>
          <w:sz w:val="24"/>
          <w:szCs w:val="24"/>
          <w:highlight w:val="none"/>
          <w:lang w:val="en-US" w:eastAsia="zh-CN"/>
        </w:rPr>
        <w:t>为防止专家信息泄露，请待评委到达评标场所且进入评标室后，</w:t>
      </w:r>
      <w:r>
        <w:rPr>
          <w:rFonts w:hint="eastAsia" w:asciiTheme="minorEastAsia" w:hAnsiTheme="minorEastAsia" w:cstheme="minorEastAsia"/>
          <w:sz w:val="24"/>
          <w:szCs w:val="24"/>
          <w:highlight w:val="none"/>
          <w:lang w:val="en-US" w:eastAsia="zh-CN"/>
        </w:rPr>
        <w:t>主场再</w:t>
      </w:r>
      <w:r>
        <w:rPr>
          <w:rFonts w:hint="eastAsia" w:asciiTheme="minorEastAsia" w:hAnsiTheme="minorEastAsia" w:eastAsiaTheme="minorEastAsia" w:cstheme="minorEastAsia"/>
          <w:sz w:val="24"/>
          <w:szCs w:val="24"/>
          <w:highlight w:val="none"/>
          <w:lang w:val="en-US" w:eastAsia="zh-CN"/>
        </w:rPr>
        <w:t>点击“开放主场名单”</w:t>
      </w:r>
      <w:r>
        <w:rPr>
          <w:rFonts w:hint="eastAsia" w:asciiTheme="minorEastAsia" w:hAnsiTheme="minorEastAsia" w:cstheme="minorEastAsia"/>
          <w:sz w:val="24"/>
          <w:szCs w:val="24"/>
          <w:highlight w:val="none"/>
          <w:lang w:val="en-US" w:eastAsia="zh-CN"/>
        </w:rPr>
        <w:t>，待主副场专家全部到齐并公布名单后，主场点击</w:t>
      </w:r>
      <w:r>
        <w:rPr>
          <w:rFonts w:hint="eastAsia" w:asciiTheme="minorEastAsia" w:hAnsiTheme="minorEastAsia" w:eastAsiaTheme="minorEastAsia" w:cstheme="minorEastAsia"/>
          <w:sz w:val="24"/>
          <w:szCs w:val="24"/>
          <w:highlight w:val="none"/>
          <w:lang w:val="en-US" w:eastAsia="zh-CN"/>
        </w:rPr>
        <w:t>“推送专家列表”两个按钮，将主副场专家推送至评标系统。</w:t>
      </w:r>
    </w:p>
    <w:p w14:paraId="2554B318">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rPr>
        <w:drawing>
          <wp:inline distT="0" distB="0" distL="114300" distR="114300">
            <wp:extent cx="6201410" cy="3150235"/>
            <wp:effectExtent l="0" t="0" r="8890" b="1206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6201410" cy="3150235"/>
                    </a:xfrm>
                    <a:prstGeom prst="rect">
                      <a:avLst/>
                    </a:prstGeom>
                    <a:noFill/>
                    <a:ln>
                      <a:noFill/>
                    </a:ln>
                  </pic:spPr>
                </pic:pic>
              </a:graphicData>
            </a:graphic>
          </wp:inline>
        </w:drawing>
      </w:r>
    </w:p>
    <w:p w14:paraId="362CB597">
      <w:pPr>
        <w:pStyle w:val="5"/>
        <w:pageBreakBefore w:val="0"/>
        <w:widowControl w:val="0"/>
        <w:kinsoku/>
        <w:wordWrap/>
        <w:overflowPunct/>
        <w:topLinePunct w:val="0"/>
        <w:autoSpaceDE/>
        <w:autoSpaceDN/>
        <w:bidi w:val="0"/>
        <w:adjustRightInd/>
        <w:snapToGrid/>
        <w:spacing w:line="360" w:lineRule="auto"/>
        <w:textAlignment w:val="auto"/>
        <w:outlineLvl w:val="2"/>
        <w:rPr>
          <w:rFonts w:hint="eastAsia" w:asciiTheme="minorEastAsia" w:hAnsiTheme="minorEastAsia" w:eastAsiaTheme="minorEastAsia" w:cstheme="minorEastAsia"/>
          <w:sz w:val="24"/>
          <w:szCs w:val="24"/>
          <w:lang w:val="en-US" w:eastAsia="zh-CN"/>
        </w:rPr>
      </w:pPr>
      <w:bookmarkStart w:id="14" w:name="_Toc811"/>
      <w:r>
        <w:rPr>
          <w:rFonts w:hint="eastAsia" w:asciiTheme="minorEastAsia" w:hAnsiTheme="minorEastAsia" w:eastAsiaTheme="minorEastAsia" w:cstheme="minorEastAsia"/>
          <w:sz w:val="24"/>
          <w:szCs w:val="24"/>
          <w:lang w:val="en-US" w:eastAsia="zh-CN"/>
        </w:rPr>
        <w:t>2.2指定副场</w:t>
      </w:r>
      <w:bookmarkEnd w:id="14"/>
    </w:p>
    <w:p w14:paraId="743592B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若随机抽取方式选择“指定副场”，工作人员点击“开始组建”进入机位预约页面，选择副场信息与机位信息后，点击“下一步”。</w:t>
      </w:r>
    </w:p>
    <w:p w14:paraId="4301DA52">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6517640" cy="2530475"/>
            <wp:effectExtent l="0" t="0" r="1651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4"/>
                    <a:stretch>
                      <a:fillRect/>
                    </a:stretch>
                  </pic:blipFill>
                  <pic:spPr>
                    <a:xfrm>
                      <a:off x="0" y="0"/>
                      <a:ext cx="6517640" cy="2530475"/>
                    </a:xfrm>
                    <a:prstGeom prst="rect">
                      <a:avLst/>
                    </a:prstGeom>
                    <a:noFill/>
                    <a:ln>
                      <a:noFill/>
                    </a:ln>
                  </pic:spPr>
                </pic:pic>
              </a:graphicData>
            </a:graphic>
          </wp:inline>
        </w:drawing>
      </w:r>
    </w:p>
    <w:p w14:paraId="04B8DAFB">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681470" cy="6821170"/>
            <wp:effectExtent l="0" t="0" r="5080"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6681470" cy="6821170"/>
                    </a:xfrm>
                    <a:prstGeom prst="rect">
                      <a:avLst/>
                    </a:prstGeom>
                    <a:noFill/>
                    <a:ln>
                      <a:noFill/>
                    </a:ln>
                  </pic:spPr>
                </pic:pic>
              </a:graphicData>
            </a:graphic>
          </wp:inline>
        </w:drawing>
      </w:r>
    </w:p>
    <w:p w14:paraId="04C5F68B">
      <w:pPr>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进入“远程评标→项目组建”页面</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工作人员</w:t>
      </w:r>
      <w:r>
        <w:rPr>
          <w:rFonts w:hint="eastAsia" w:asciiTheme="minorEastAsia" w:hAnsiTheme="minorEastAsia" w:cstheme="minorEastAsia"/>
          <w:sz w:val="24"/>
          <w:szCs w:val="24"/>
          <w:lang w:val="en-US" w:eastAsia="zh-CN"/>
        </w:rPr>
        <w:t>新增副场（指定副场类项目需线下沟通，无线上确认功能）并选择副场专家机位后</w:t>
      </w:r>
      <w:r>
        <w:rPr>
          <w:rFonts w:hint="eastAsia" w:asciiTheme="minorEastAsia" w:hAnsiTheme="minorEastAsia" w:eastAsiaTheme="minorEastAsia" w:cstheme="minorEastAsia"/>
          <w:sz w:val="24"/>
          <w:szCs w:val="24"/>
          <w:lang w:val="en-US" w:eastAsia="zh-CN"/>
        </w:rPr>
        <w:t>在“项目组建”页面点击“确认提交”</w:t>
      </w:r>
      <w:r>
        <w:rPr>
          <w:rFonts w:hint="eastAsia" w:asciiTheme="minorEastAsia" w:hAnsiTheme="minorEastAsia" w:cstheme="minorEastAsia"/>
          <w:sz w:val="24"/>
          <w:szCs w:val="24"/>
          <w:lang w:val="en-US" w:eastAsia="zh-CN"/>
        </w:rPr>
        <w:t>。</w:t>
      </w:r>
    </w:p>
    <w:p w14:paraId="5D298F38">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6682740" cy="7152640"/>
            <wp:effectExtent l="0" t="0" r="3810"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6"/>
                    <a:stretch>
                      <a:fillRect/>
                    </a:stretch>
                  </pic:blipFill>
                  <pic:spPr>
                    <a:xfrm>
                      <a:off x="0" y="0"/>
                      <a:ext cx="6682740" cy="7152640"/>
                    </a:xfrm>
                    <a:prstGeom prst="rect">
                      <a:avLst/>
                    </a:prstGeom>
                    <a:noFill/>
                    <a:ln>
                      <a:noFill/>
                    </a:ln>
                  </pic:spPr>
                </pic:pic>
              </a:graphicData>
            </a:graphic>
          </wp:inline>
        </w:drawing>
      </w:r>
    </w:p>
    <w:p w14:paraId="12AACBC7">
      <w:pPr>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业务系统此时会自动生成“编辑中”状态的专家抽取申请，若项目抽取多个副场，系统会产生多条专家抽取申请，需要分别设定主副场所需抽取的评委数量和专业后提交审核。</w:t>
      </w:r>
    </w:p>
    <w:p w14:paraId="00B66053">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EastAsia"/>
          <w:i/>
          <w:iCs/>
          <w:color w:val="FF0000"/>
          <w:sz w:val="20"/>
          <w:szCs w:val="20"/>
          <w:u w:val="single"/>
          <w:lang w:val="en-US" w:eastAsia="zh-CN"/>
        </w:rPr>
      </w:pPr>
      <w:r>
        <w:rPr>
          <w:rFonts w:hint="eastAsia" w:asciiTheme="minorEastAsia" w:hAnsiTheme="minorEastAsia" w:cstheme="minorEastAsia"/>
          <w:i/>
          <w:iCs/>
          <w:color w:val="FF0000"/>
          <w:sz w:val="20"/>
          <w:szCs w:val="20"/>
          <w:u w:val="single"/>
          <w:lang w:val="en-US" w:eastAsia="zh-CN"/>
        </w:rPr>
        <w:t>举例：若项目抽取两个副场，此时，业务系统中会生成三条专家抽取申请，主场一条，副场各一条。</w:t>
      </w:r>
    </w:p>
    <w:p w14:paraId="1486265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代理机构在业务系统30分钟内提交“编辑中”的专家抽取申请，提交审核通过后。项目开标后，主副场分别录入专家即可</w:t>
      </w:r>
      <w:r>
        <w:rPr>
          <w:rFonts w:hint="eastAsia" w:asciiTheme="minorEastAsia" w:hAnsiTheme="minorEastAsia" w:cstheme="minorEastAsia"/>
          <w:sz w:val="24"/>
          <w:szCs w:val="24"/>
          <w:lang w:val="en-US" w:eastAsia="zh-CN"/>
        </w:rPr>
        <w:t>。</w:t>
      </w:r>
    </w:p>
    <w:p w14:paraId="2E97B8E6">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drawing>
          <wp:inline distT="0" distB="0" distL="114300" distR="114300">
            <wp:extent cx="6560185" cy="2197735"/>
            <wp:effectExtent l="0" t="0" r="1206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7"/>
                    <a:stretch>
                      <a:fillRect/>
                    </a:stretch>
                  </pic:blipFill>
                  <pic:spPr>
                    <a:xfrm>
                      <a:off x="0" y="0"/>
                      <a:ext cx="6560185" cy="2197735"/>
                    </a:xfrm>
                    <a:prstGeom prst="rect">
                      <a:avLst/>
                    </a:prstGeom>
                    <a:noFill/>
                    <a:ln>
                      <a:noFill/>
                    </a:ln>
                  </pic:spPr>
                </pic:pic>
              </a:graphicData>
            </a:graphic>
          </wp:inline>
        </w:drawing>
      </w:r>
    </w:p>
    <w:p w14:paraId="25DE725C">
      <w:pPr>
        <w:pStyle w:val="4"/>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eastAsia" w:asciiTheme="minorEastAsia" w:hAnsiTheme="minorEastAsia" w:eastAsiaTheme="minorEastAsia" w:cstheme="minorEastAsia"/>
          <w:sz w:val="24"/>
          <w:szCs w:val="24"/>
          <w:lang w:val="en-US" w:eastAsia="zh-CN"/>
        </w:rPr>
      </w:pPr>
      <w:bookmarkStart w:id="15" w:name="_Toc27913"/>
      <w:r>
        <w:rPr>
          <w:rFonts w:hint="eastAsia" w:asciiTheme="minorEastAsia" w:hAnsiTheme="minorEastAsia" w:eastAsiaTheme="minorEastAsia" w:cstheme="minorEastAsia"/>
          <w:sz w:val="24"/>
          <w:szCs w:val="24"/>
          <w:lang w:val="en-US" w:eastAsia="zh-CN"/>
        </w:rPr>
        <w:t>3.主场发函</w:t>
      </w:r>
      <w:bookmarkEnd w:id="15"/>
    </w:p>
    <w:p w14:paraId="2897AD5E">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主场点击远程评标→项目组建→发函，可上传函件发给副场。函件可上传多次，以最后一次上传的为准。</w:t>
      </w:r>
    </w:p>
    <w:p w14:paraId="280C2D6A">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p>
    <w:p w14:paraId="4CCC3907">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6540500" cy="2415540"/>
            <wp:effectExtent l="0" t="0" r="12700" b="3810"/>
            <wp:docPr id="42" name="图片 42" descr="172725278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27252785397"/>
                    <pic:cNvPicPr>
                      <a:picLocks noChangeAspect="1"/>
                    </pic:cNvPicPr>
                  </pic:nvPicPr>
                  <pic:blipFill>
                    <a:blip r:embed="rId28"/>
                    <a:stretch>
                      <a:fillRect/>
                    </a:stretch>
                  </pic:blipFill>
                  <pic:spPr>
                    <a:xfrm>
                      <a:off x="0" y="0"/>
                      <a:ext cx="6540500" cy="2415540"/>
                    </a:xfrm>
                    <a:prstGeom prst="rect">
                      <a:avLst/>
                    </a:prstGeom>
                  </pic:spPr>
                </pic:pic>
              </a:graphicData>
            </a:graphic>
          </wp:inline>
        </w:drawing>
      </w:r>
    </w:p>
    <w:p w14:paraId="5E41A034">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575425" cy="2192020"/>
            <wp:effectExtent l="0" t="0" r="15875" b="1778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29"/>
                    <a:stretch>
                      <a:fillRect/>
                    </a:stretch>
                  </pic:blipFill>
                  <pic:spPr>
                    <a:xfrm>
                      <a:off x="0" y="0"/>
                      <a:ext cx="6575425" cy="2192020"/>
                    </a:xfrm>
                    <a:prstGeom prst="rect">
                      <a:avLst/>
                    </a:prstGeom>
                    <a:noFill/>
                    <a:ln>
                      <a:noFill/>
                    </a:ln>
                  </pic:spPr>
                </pic:pic>
              </a:graphicData>
            </a:graphic>
          </wp:inline>
        </w:drawing>
      </w:r>
    </w:p>
    <w:p w14:paraId="12AAB384">
      <w:pPr>
        <w:pStyle w:val="4"/>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eastAsia" w:asciiTheme="minorEastAsia" w:hAnsiTheme="minorEastAsia" w:eastAsiaTheme="minorEastAsia" w:cstheme="minorEastAsia"/>
          <w:sz w:val="24"/>
          <w:szCs w:val="24"/>
          <w:lang w:val="en-US" w:eastAsia="zh-CN"/>
        </w:rPr>
      </w:pPr>
      <w:bookmarkStart w:id="16" w:name="_Toc9164"/>
      <w:r>
        <w:rPr>
          <w:rFonts w:hint="eastAsia" w:asciiTheme="minorEastAsia" w:hAnsiTheme="minorEastAsia" w:eastAsiaTheme="minorEastAsia" w:cstheme="minorEastAsia"/>
          <w:sz w:val="24"/>
          <w:szCs w:val="24"/>
          <w:lang w:val="en-US" w:eastAsia="zh-CN"/>
        </w:rPr>
        <w:t>4.主场登记订餐信息</w:t>
      </w:r>
      <w:bookmarkEnd w:id="16"/>
    </w:p>
    <w:p w14:paraId="47DA7886">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评标开始后，主场可点击“订餐管理”，登记订餐信息。</w:t>
      </w:r>
    </w:p>
    <w:p w14:paraId="398FCE63">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6574155" cy="4681220"/>
            <wp:effectExtent l="0" t="0" r="17145" b="508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0"/>
                    <a:stretch>
                      <a:fillRect/>
                    </a:stretch>
                  </pic:blipFill>
                  <pic:spPr>
                    <a:xfrm>
                      <a:off x="0" y="0"/>
                      <a:ext cx="6574155" cy="4681220"/>
                    </a:xfrm>
                    <a:prstGeom prst="rect">
                      <a:avLst/>
                    </a:prstGeom>
                    <a:noFill/>
                    <a:ln>
                      <a:noFill/>
                    </a:ln>
                  </pic:spPr>
                </pic:pic>
              </a:graphicData>
            </a:graphic>
          </wp:inline>
        </w:drawing>
      </w:r>
    </w:p>
    <w:p w14:paraId="11456AD6">
      <w:pPr>
        <w:pStyle w:val="2"/>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bookmarkStart w:id="17" w:name="_Toc20123"/>
      <w:r>
        <w:rPr>
          <w:rFonts w:hint="eastAsia" w:asciiTheme="minorEastAsia" w:hAnsiTheme="minorEastAsia" w:eastAsiaTheme="minorEastAsia" w:cstheme="minorEastAsia"/>
          <w:sz w:val="24"/>
          <w:szCs w:val="24"/>
          <w:lang w:val="en-US" w:eastAsia="zh-CN"/>
        </w:rPr>
        <w:t>三、副场工作人员操作指南</w:t>
      </w:r>
      <w:bookmarkEnd w:id="17"/>
    </w:p>
    <w:p w14:paraId="1C142780">
      <w:pPr>
        <w:pStyle w:val="4"/>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eastAsia" w:asciiTheme="minorEastAsia" w:hAnsiTheme="minorEastAsia" w:eastAsiaTheme="minorEastAsia" w:cstheme="minorEastAsia"/>
          <w:sz w:val="24"/>
          <w:szCs w:val="24"/>
          <w:lang w:val="en-US" w:eastAsia="zh-CN"/>
        </w:rPr>
      </w:pPr>
      <w:bookmarkStart w:id="18" w:name="_Toc7256"/>
      <w:r>
        <w:rPr>
          <w:rFonts w:hint="eastAsia" w:asciiTheme="minorEastAsia" w:hAnsiTheme="minorEastAsia" w:eastAsiaTheme="minorEastAsia" w:cstheme="minorEastAsia"/>
          <w:sz w:val="24"/>
          <w:szCs w:val="24"/>
          <w:lang w:val="en-US" w:eastAsia="zh-CN"/>
        </w:rPr>
        <w:t>1.查看副场项目</w:t>
      </w:r>
      <w:bookmarkEnd w:id="18"/>
    </w:p>
    <w:p w14:paraId="69B8BE81">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中心人员可以在“远程评标-副场项目”模块查看</w:t>
      </w:r>
      <w:r>
        <w:rPr>
          <w:rFonts w:hint="eastAsia" w:asciiTheme="minorEastAsia" w:hAnsiTheme="minorEastAsia" w:cstheme="minorEastAsia"/>
          <w:sz w:val="24"/>
          <w:szCs w:val="24"/>
          <w:lang w:val="en-US" w:eastAsia="zh-CN"/>
        </w:rPr>
        <w:t>双随机抽取已完成且本交易中心</w:t>
      </w:r>
      <w:r>
        <w:rPr>
          <w:rFonts w:hint="eastAsia" w:asciiTheme="minorEastAsia" w:hAnsiTheme="minorEastAsia" w:eastAsiaTheme="minorEastAsia" w:cstheme="minorEastAsia"/>
          <w:sz w:val="24"/>
          <w:szCs w:val="24"/>
          <w:lang w:val="en-US" w:eastAsia="zh-CN"/>
        </w:rPr>
        <w:t>作为副场的项目列表。</w:t>
      </w:r>
    </w:p>
    <w:p w14:paraId="645999B5">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534150" cy="2517140"/>
            <wp:effectExtent l="0" t="0" r="0"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1"/>
                    <a:stretch>
                      <a:fillRect/>
                    </a:stretch>
                  </pic:blipFill>
                  <pic:spPr>
                    <a:xfrm>
                      <a:off x="0" y="0"/>
                      <a:ext cx="6534150" cy="2517140"/>
                    </a:xfrm>
                    <a:prstGeom prst="rect">
                      <a:avLst/>
                    </a:prstGeom>
                    <a:noFill/>
                    <a:ln>
                      <a:noFill/>
                    </a:ln>
                  </pic:spPr>
                </pic:pic>
              </a:graphicData>
            </a:graphic>
          </wp:inline>
        </w:drawing>
      </w:r>
    </w:p>
    <w:p w14:paraId="11ED117C">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drawing>
          <wp:inline distT="0" distB="0" distL="114300" distR="114300">
            <wp:extent cx="6543040" cy="1708785"/>
            <wp:effectExtent l="0" t="0" r="10160" b="57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2"/>
                    <a:stretch>
                      <a:fillRect/>
                    </a:stretch>
                  </pic:blipFill>
                  <pic:spPr>
                    <a:xfrm>
                      <a:off x="0" y="0"/>
                      <a:ext cx="6543040" cy="1708785"/>
                    </a:xfrm>
                    <a:prstGeom prst="rect">
                      <a:avLst/>
                    </a:prstGeom>
                    <a:noFill/>
                    <a:ln>
                      <a:noFill/>
                    </a:ln>
                  </pic:spPr>
                </pic:pic>
              </a:graphicData>
            </a:graphic>
          </wp:inline>
        </w:drawing>
      </w:r>
    </w:p>
    <w:p w14:paraId="776C12A1">
      <w:pPr>
        <w:pStyle w:val="4"/>
        <w:pageBreakBefore w:val="0"/>
        <w:widowControl w:val="0"/>
        <w:numPr>
          <w:ilvl w:val="0"/>
          <w:numId w:val="5"/>
        </w:numPr>
        <w:kinsoku/>
        <w:wordWrap/>
        <w:overflowPunct/>
        <w:topLinePunct w:val="0"/>
        <w:autoSpaceDE/>
        <w:autoSpaceDN/>
        <w:bidi w:val="0"/>
        <w:adjustRightInd/>
        <w:snapToGrid/>
        <w:spacing w:line="360" w:lineRule="auto"/>
        <w:ind w:leftChars="0"/>
        <w:textAlignment w:val="auto"/>
        <w:outlineLvl w:val="1"/>
        <w:rPr>
          <w:rFonts w:hint="eastAsia" w:asciiTheme="minorEastAsia" w:hAnsiTheme="minorEastAsia" w:eastAsiaTheme="minorEastAsia" w:cstheme="minorEastAsia"/>
          <w:sz w:val="24"/>
          <w:szCs w:val="24"/>
          <w:lang w:val="en-US" w:eastAsia="zh-CN"/>
        </w:rPr>
      </w:pPr>
      <w:bookmarkStart w:id="19" w:name="_Toc22105"/>
      <w:r>
        <w:rPr>
          <w:rFonts w:hint="eastAsia" w:asciiTheme="minorEastAsia" w:hAnsiTheme="minorEastAsia" w:eastAsiaTheme="minorEastAsia" w:cstheme="minorEastAsia"/>
          <w:sz w:val="24"/>
          <w:szCs w:val="24"/>
          <w:lang w:val="en-US" w:eastAsia="zh-CN"/>
        </w:rPr>
        <w:t>副场抽取确认</w:t>
      </w:r>
      <w:bookmarkEnd w:id="19"/>
    </w:p>
    <w:p w14:paraId="7A2E1AA3">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主场专家抽取完成后，副场需在“副场</w:t>
      </w:r>
      <w:r>
        <w:rPr>
          <w:rFonts w:hint="eastAsia" w:asciiTheme="minorEastAsia" w:hAnsiTheme="minorEastAsia" w:cstheme="minorEastAsia"/>
          <w:sz w:val="24"/>
          <w:szCs w:val="24"/>
          <w:lang w:val="en-US" w:eastAsia="zh-CN"/>
        </w:rPr>
        <w:t>抽取确认</w:t>
      </w:r>
      <w:r>
        <w:rPr>
          <w:rFonts w:hint="eastAsia" w:asciiTheme="minorEastAsia" w:hAnsiTheme="minorEastAsia" w:eastAsiaTheme="minorEastAsia" w:cstheme="minorEastAsia"/>
          <w:sz w:val="24"/>
          <w:szCs w:val="24"/>
          <w:lang w:val="en-US" w:eastAsia="zh-CN"/>
        </w:rPr>
        <w:t>”中确认或拒绝。</w:t>
      </w:r>
    </w:p>
    <w:p w14:paraId="05E7A485">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6513195" cy="2052320"/>
            <wp:effectExtent l="0" t="0" r="1905" b="508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3"/>
                    <a:stretch>
                      <a:fillRect/>
                    </a:stretch>
                  </pic:blipFill>
                  <pic:spPr>
                    <a:xfrm>
                      <a:off x="0" y="0"/>
                      <a:ext cx="6513195" cy="2052320"/>
                    </a:xfrm>
                    <a:prstGeom prst="rect">
                      <a:avLst/>
                    </a:prstGeom>
                    <a:noFill/>
                    <a:ln>
                      <a:noFill/>
                    </a:ln>
                  </pic:spPr>
                </pic:pic>
              </a:graphicData>
            </a:graphic>
          </wp:inline>
        </w:drawing>
      </w:r>
    </w:p>
    <w:p w14:paraId="123CF443">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6609715" cy="1552575"/>
            <wp:effectExtent l="0" t="0" r="635" b="952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4"/>
                    <a:stretch>
                      <a:fillRect/>
                    </a:stretch>
                  </pic:blipFill>
                  <pic:spPr>
                    <a:xfrm>
                      <a:off x="0" y="0"/>
                      <a:ext cx="6609715" cy="1552575"/>
                    </a:xfrm>
                    <a:prstGeom prst="rect">
                      <a:avLst/>
                    </a:prstGeom>
                    <a:noFill/>
                    <a:ln>
                      <a:noFill/>
                    </a:ln>
                  </pic:spPr>
                </pic:pic>
              </a:graphicData>
            </a:graphic>
          </wp:inline>
        </w:drawing>
      </w:r>
    </w:p>
    <w:p w14:paraId="6F73993A">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6334760" cy="3808730"/>
            <wp:effectExtent l="0" t="0" r="8890"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5"/>
                    <a:stretch>
                      <a:fillRect/>
                    </a:stretch>
                  </pic:blipFill>
                  <pic:spPr>
                    <a:xfrm>
                      <a:off x="0" y="0"/>
                      <a:ext cx="6334760" cy="3808730"/>
                    </a:xfrm>
                    <a:prstGeom prst="rect">
                      <a:avLst/>
                    </a:prstGeom>
                    <a:noFill/>
                    <a:ln>
                      <a:noFill/>
                    </a:ln>
                  </pic:spPr>
                </pic:pic>
              </a:graphicData>
            </a:graphic>
          </wp:inline>
        </w:drawing>
      </w:r>
    </w:p>
    <w:p w14:paraId="5422863E">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副场确认完成后，可在“抽取结果状态”中查看确认情况，</w:t>
      </w:r>
    </w:p>
    <w:p w14:paraId="2F17D753">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6380480" cy="1991360"/>
            <wp:effectExtent l="0" t="0" r="127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6380480" cy="1991360"/>
                    </a:xfrm>
                    <a:prstGeom prst="rect">
                      <a:avLst/>
                    </a:prstGeom>
                    <a:noFill/>
                    <a:ln>
                      <a:noFill/>
                    </a:ln>
                  </pic:spPr>
                </pic:pic>
              </a:graphicData>
            </a:graphic>
          </wp:inline>
        </w:drawing>
      </w:r>
    </w:p>
    <w:p w14:paraId="164F6835">
      <w:pPr>
        <w:pStyle w:val="4"/>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eastAsia" w:asciiTheme="minorEastAsia" w:hAnsiTheme="minorEastAsia" w:eastAsiaTheme="minorEastAsia" w:cstheme="minorEastAsia"/>
          <w:sz w:val="24"/>
          <w:szCs w:val="24"/>
          <w:lang w:val="en-US" w:eastAsia="zh-CN"/>
        </w:rPr>
      </w:pPr>
      <w:bookmarkStart w:id="20" w:name="_Toc21914"/>
      <w:r>
        <w:rPr>
          <w:rFonts w:hint="eastAsia" w:asciiTheme="minorEastAsia" w:hAnsiTheme="minorEastAsia" w:eastAsiaTheme="minorEastAsia" w:cstheme="minorEastAsia"/>
          <w:sz w:val="24"/>
          <w:szCs w:val="24"/>
          <w:lang w:val="en-US" w:eastAsia="zh-CN"/>
        </w:rPr>
        <w:t>3.副场接收主场函件</w:t>
      </w:r>
      <w:bookmarkEnd w:id="20"/>
    </w:p>
    <w:p w14:paraId="71B5D57C">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点击“远程异地评标→副场项目→查看函”按钮。可查看主场下发的函件。</w:t>
      </w:r>
    </w:p>
    <w:p w14:paraId="70131A89">
      <w:pPr>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6531610" cy="1924050"/>
            <wp:effectExtent l="0" t="0" r="2540" b="0"/>
            <wp:docPr id="30" name="图片 30" descr="172723560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27235606884"/>
                    <pic:cNvPicPr>
                      <a:picLocks noChangeAspect="1"/>
                    </pic:cNvPicPr>
                  </pic:nvPicPr>
                  <pic:blipFill>
                    <a:blip r:embed="rId37"/>
                    <a:stretch>
                      <a:fillRect/>
                    </a:stretch>
                  </pic:blipFill>
                  <pic:spPr>
                    <a:xfrm>
                      <a:off x="0" y="0"/>
                      <a:ext cx="6531610" cy="1924050"/>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t>副场人员点击“查看”按钮，可查看公共文件池文件以及本平台上传的文件。</w:t>
      </w:r>
    </w:p>
    <w:p w14:paraId="1096236C">
      <w:pPr>
        <w:pageBreakBefore w:val="0"/>
        <w:widowControl w:val="0"/>
        <w:numPr>
          <w:ilvl w:val="0"/>
          <w:numId w:val="0"/>
        </w:numPr>
        <w:tabs>
          <w:tab w:val="left" w:pos="929"/>
        </w:tabs>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506845" cy="3456940"/>
            <wp:effectExtent l="0" t="0" r="8255" b="1016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38"/>
                    <a:stretch>
                      <a:fillRect/>
                    </a:stretch>
                  </pic:blipFill>
                  <pic:spPr>
                    <a:xfrm>
                      <a:off x="0" y="0"/>
                      <a:ext cx="6506845" cy="3456940"/>
                    </a:xfrm>
                    <a:prstGeom prst="rect">
                      <a:avLst/>
                    </a:prstGeom>
                    <a:noFill/>
                    <a:ln>
                      <a:noFill/>
                    </a:ln>
                  </pic:spPr>
                </pic:pic>
              </a:graphicData>
            </a:graphic>
          </wp:inline>
        </w:drawing>
      </w:r>
    </w:p>
    <w:p w14:paraId="5BAD99AA">
      <w:pPr>
        <w:pStyle w:val="4"/>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heme="minorEastAsia" w:hAnsiTheme="minorEastAsia" w:eastAsiaTheme="minorEastAsia" w:cstheme="minorEastAsia"/>
          <w:sz w:val="24"/>
          <w:szCs w:val="24"/>
          <w:lang w:val="en-US" w:eastAsia="zh-CN"/>
        </w:rPr>
      </w:pPr>
      <w:bookmarkStart w:id="21" w:name="_Toc19258"/>
      <w:r>
        <w:rPr>
          <w:rFonts w:hint="eastAsia" w:asciiTheme="minorEastAsia" w:hAnsiTheme="minorEastAsia" w:eastAsiaTheme="minorEastAsia" w:cstheme="minorEastAsia"/>
          <w:sz w:val="24"/>
          <w:szCs w:val="24"/>
          <w:lang w:val="en-US" w:eastAsia="zh-CN"/>
        </w:rPr>
        <w:t>4.副场评委</w:t>
      </w:r>
      <w:r>
        <w:rPr>
          <w:rFonts w:hint="eastAsia" w:asciiTheme="minorEastAsia" w:hAnsiTheme="minorEastAsia" w:cstheme="minorEastAsia"/>
          <w:sz w:val="24"/>
          <w:szCs w:val="24"/>
          <w:lang w:val="en-US" w:eastAsia="zh-CN"/>
        </w:rPr>
        <w:t>抽取同步</w:t>
      </w:r>
      <w:bookmarkEnd w:id="21"/>
    </w:p>
    <w:p w14:paraId="01301A66">
      <w:pPr>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副场专家抽取完毕</w:t>
      </w:r>
      <w:r>
        <w:rPr>
          <w:rFonts w:hint="eastAsia" w:asciiTheme="minorEastAsia" w:hAnsiTheme="minorEastAsia" w:eastAsiaTheme="minorEastAsia" w:cstheme="minorEastAsia"/>
          <w:color w:val="auto"/>
          <w:kern w:val="2"/>
          <w:sz w:val="24"/>
          <w:szCs w:val="24"/>
          <w:highlight w:val="none"/>
          <w:lang w:val="en-US" w:eastAsia="zh-CN" w:bidi="ar-SA"/>
        </w:rPr>
        <w:t>后，</w:t>
      </w:r>
      <w:r>
        <w:rPr>
          <w:rFonts w:hint="eastAsia" w:asciiTheme="minorEastAsia" w:hAnsiTheme="minorEastAsia" w:eastAsiaTheme="minorEastAsia" w:cstheme="minorEastAsia"/>
          <w:b/>
          <w:bCs/>
          <w:color w:val="FF0000"/>
          <w:sz w:val="24"/>
          <w:szCs w:val="24"/>
          <w:highlight w:val="none"/>
          <w:lang w:val="en-US" w:eastAsia="zh-CN"/>
        </w:rPr>
        <w:t>抽取完毕后在评标</w:t>
      </w:r>
      <w:r>
        <w:rPr>
          <w:rFonts w:hint="eastAsia" w:asciiTheme="minorEastAsia" w:hAnsiTheme="minorEastAsia" w:cstheme="minorEastAsia"/>
          <w:b/>
          <w:bCs/>
          <w:color w:val="FF0000"/>
          <w:sz w:val="24"/>
          <w:szCs w:val="24"/>
          <w:highlight w:val="none"/>
          <w:lang w:val="en-US" w:eastAsia="zh-CN"/>
        </w:rPr>
        <w:t>开始</w:t>
      </w:r>
      <w:r>
        <w:rPr>
          <w:rFonts w:hint="eastAsia" w:asciiTheme="minorEastAsia" w:hAnsiTheme="minorEastAsia" w:eastAsiaTheme="minorEastAsia" w:cstheme="minorEastAsia"/>
          <w:b/>
          <w:bCs/>
          <w:color w:val="FF0000"/>
          <w:sz w:val="24"/>
          <w:szCs w:val="24"/>
          <w:highlight w:val="none"/>
          <w:lang w:val="en-US" w:eastAsia="zh-CN"/>
        </w:rPr>
        <w:t>前</w:t>
      </w:r>
      <w:r>
        <w:rPr>
          <w:rFonts w:hint="eastAsia" w:asciiTheme="minorEastAsia" w:hAnsiTheme="minorEastAsia" w:cstheme="minorEastAsia"/>
          <w:b/>
          <w:bCs/>
          <w:color w:val="FF0000"/>
          <w:sz w:val="24"/>
          <w:szCs w:val="24"/>
          <w:highlight w:val="none"/>
          <w:lang w:val="en-US" w:eastAsia="zh-CN"/>
        </w:rPr>
        <w:t>半小时</w:t>
      </w:r>
      <w:r>
        <w:rPr>
          <w:rFonts w:hint="eastAsia" w:asciiTheme="minorEastAsia" w:hAnsiTheme="minorEastAsia" w:cstheme="minorEastAsia"/>
          <w:b/>
          <w:bCs/>
          <w:color w:val="FF0000"/>
          <w:kern w:val="2"/>
          <w:sz w:val="24"/>
          <w:szCs w:val="24"/>
          <w:highlight w:val="none"/>
          <w:lang w:val="en-US" w:eastAsia="zh-CN" w:bidi="ar-SA"/>
        </w:rPr>
        <w:t>，</w:t>
      </w:r>
      <w:r>
        <w:rPr>
          <w:rFonts w:hint="eastAsia" w:asciiTheme="minorEastAsia" w:hAnsiTheme="minorEastAsia" w:eastAsiaTheme="minorEastAsia" w:cstheme="minorEastAsia"/>
          <w:color w:val="auto"/>
          <w:kern w:val="2"/>
          <w:sz w:val="24"/>
          <w:szCs w:val="24"/>
          <w:lang w:val="en-US" w:eastAsia="zh-CN" w:bidi="ar-SA"/>
        </w:rPr>
        <w:t>评委</w:t>
      </w:r>
      <w:r>
        <w:rPr>
          <w:rFonts w:hint="eastAsia" w:asciiTheme="minorEastAsia" w:hAnsiTheme="minorEastAsia" w:cstheme="minorEastAsia"/>
          <w:color w:val="auto"/>
          <w:kern w:val="2"/>
          <w:sz w:val="24"/>
          <w:szCs w:val="24"/>
          <w:lang w:val="en-US" w:eastAsia="zh-CN" w:bidi="ar-SA"/>
        </w:rPr>
        <w:t>自动同步至易彩虹系统，无需手动录入，</w:t>
      </w:r>
      <w:r>
        <w:rPr>
          <w:rFonts w:hint="eastAsia" w:asciiTheme="minorEastAsia" w:hAnsiTheme="minorEastAsia" w:cstheme="minorEastAsia"/>
          <w:b/>
          <w:bCs/>
          <w:color w:val="FF0000"/>
          <w:sz w:val="24"/>
          <w:szCs w:val="24"/>
          <w:highlight w:val="none"/>
          <w:lang w:val="en-US" w:eastAsia="zh-CN"/>
        </w:rPr>
        <w:t>评标开始时间以专家抽取系统中设置的评标开始时间为准。</w:t>
      </w:r>
    </w:p>
    <w:p w14:paraId="260DC42D">
      <w:pPr>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b/>
          <w:bCs/>
          <w:color w:val="FF0000"/>
          <w:sz w:val="24"/>
          <w:szCs w:val="24"/>
          <w:highlight w:val="none"/>
          <w:lang w:val="en-US" w:eastAsia="zh-CN"/>
        </w:rPr>
        <w:t>为防止专家信息泄露，请待评委到达评标场所且进入评标室后，</w:t>
      </w:r>
      <w:r>
        <w:rPr>
          <w:rFonts w:hint="eastAsia" w:asciiTheme="minorEastAsia" w:hAnsiTheme="minorEastAsia" w:cstheme="minorEastAsia"/>
          <w:sz w:val="24"/>
          <w:szCs w:val="24"/>
          <w:highlight w:val="none"/>
          <w:lang w:val="en-US" w:eastAsia="zh-CN"/>
        </w:rPr>
        <w:t>再</w:t>
      </w:r>
      <w:r>
        <w:rPr>
          <w:rFonts w:hint="eastAsia" w:asciiTheme="minorEastAsia" w:hAnsiTheme="minorEastAsia" w:eastAsiaTheme="minorEastAsia" w:cstheme="minorEastAsia"/>
          <w:sz w:val="24"/>
          <w:szCs w:val="24"/>
          <w:highlight w:val="none"/>
          <w:lang w:val="en-US" w:eastAsia="zh-CN"/>
        </w:rPr>
        <w:t>点击“开放</w:t>
      </w:r>
      <w:r>
        <w:rPr>
          <w:rFonts w:hint="eastAsia" w:asciiTheme="minorEastAsia" w:hAnsiTheme="minorEastAsia" w:cstheme="minorEastAsia"/>
          <w:sz w:val="24"/>
          <w:szCs w:val="24"/>
          <w:highlight w:val="none"/>
          <w:lang w:val="en-US" w:eastAsia="zh-CN"/>
        </w:rPr>
        <w:t>副</w:t>
      </w:r>
      <w:r>
        <w:rPr>
          <w:rFonts w:hint="eastAsia" w:asciiTheme="minorEastAsia" w:hAnsiTheme="minorEastAsia" w:eastAsiaTheme="minorEastAsia" w:cstheme="minorEastAsia"/>
          <w:sz w:val="24"/>
          <w:szCs w:val="24"/>
          <w:highlight w:val="none"/>
          <w:lang w:val="en-US" w:eastAsia="zh-CN"/>
        </w:rPr>
        <w:t>场名单”</w:t>
      </w:r>
      <w:r>
        <w:rPr>
          <w:rFonts w:hint="eastAsia" w:asciiTheme="minorEastAsia" w:hAnsiTheme="minorEastAsia" w:eastAsiaTheme="minorEastAsia" w:cstheme="minorEastAsia"/>
          <w:color w:val="auto"/>
          <w:kern w:val="2"/>
          <w:sz w:val="24"/>
          <w:szCs w:val="24"/>
          <w:lang w:val="en-US" w:eastAsia="zh-CN" w:bidi="ar-SA"/>
        </w:rPr>
        <w:t>。</w:t>
      </w:r>
    </w:p>
    <w:p w14:paraId="5A951D13">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点击“前往打印页面”打印副场专家易彩虹登录账号密码</w:t>
      </w:r>
      <w:r>
        <w:rPr>
          <w:rFonts w:hint="eastAsia" w:asciiTheme="minorEastAsia" w:hAnsiTheme="minorEastAsia" w:cstheme="minorEastAsia"/>
          <w:color w:val="auto"/>
          <w:kern w:val="2"/>
          <w:sz w:val="24"/>
          <w:szCs w:val="24"/>
          <w:lang w:val="en-US" w:eastAsia="zh-CN" w:bidi="ar-SA"/>
        </w:rPr>
        <w:t>。</w:t>
      </w:r>
    </w:p>
    <w:p w14:paraId="1485FC9B">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FF0000"/>
          <w:kern w:val="2"/>
          <w:sz w:val="24"/>
          <w:szCs w:val="24"/>
          <w:lang w:val="en-US" w:eastAsia="zh-CN" w:bidi="ar-SA"/>
        </w:rPr>
        <w:t>（此账号密码密码用于应急使用，正常情况无需打印，专家需刷身份证+人脸识别登录系统）</w:t>
      </w:r>
      <w:r>
        <w:rPr>
          <w:rFonts w:hint="eastAsia" w:asciiTheme="minorEastAsia" w:hAnsiTheme="minorEastAsia" w:eastAsiaTheme="minorEastAsia" w:cstheme="minorEastAsia"/>
          <w:color w:val="auto"/>
          <w:kern w:val="2"/>
          <w:sz w:val="24"/>
          <w:szCs w:val="24"/>
          <w:lang w:val="en-US" w:eastAsia="zh-CN" w:bidi="ar-SA"/>
        </w:rPr>
        <w:t>。</w:t>
      </w:r>
    </w:p>
    <w:p w14:paraId="19545708">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sz w:val="24"/>
          <w:szCs w:val="24"/>
        </w:rPr>
        <w:drawing>
          <wp:inline distT="0" distB="0" distL="114300" distR="114300">
            <wp:extent cx="6269990" cy="1973580"/>
            <wp:effectExtent l="0" t="0" r="16510" b="762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39"/>
                    <a:stretch>
                      <a:fillRect/>
                    </a:stretch>
                  </pic:blipFill>
                  <pic:spPr>
                    <a:xfrm>
                      <a:off x="0" y="0"/>
                      <a:ext cx="6269990" cy="1973580"/>
                    </a:xfrm>
                    <a:prstGeom prst="rect">
                      <a:avLst/>
                    </a:prstGeom>
                    <a:noFill/>
                    <a:ln>
                      <a:noFill/>
                    </a:ln>
                  </pic:spPr>
                </pic:pic>
              </a:graphicData>
            </a:graphic>
          </wp:inline>
        </w:drawing>
      </w:r>
    </w:p>
    <w:p w14:paraId="225D9648">
      <w:pPr>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6661785" cy="3594100"/>
            <wp:effectExtent l="0" t="0" r="5715" b="635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40"/>
                    <a:stretch>
                      <a:fillRect/>
                    </a:stretch>
                  </pic:blipFill>
                  <pic:spPr>
                    <a:xfrm>
                      <a:off x="0" y="0"/>
                      <a:ext cx="6661785" cy="3594100"/>
                    </a:xfrm>
                    <a:prstGeom prst="rect">
                      <a:avLst/>
                    </a:prstGeom>
                    <a:noFill/>
                    <a:ln>
                      <a:noFill/>
                    </a:ln>
                  </pic:spPr>
                </pic:pic>
              </a:graphicData>
            </a:graphic>
          </wp:inline>
        </w:drawing>
      </w:r>
    </w:p>
    <w:p w14:paraId="2B5BE677">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557010" cy="3537585"/>
            <wp:effectExtent l="0" t="0" r="15240" b="571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41"/>
                    <a:stretch>
                      <a:fillRect/>
                    </a:stretch>
                  </pic:blipFill>
                  <pic:spPr>
                    <a:xfrm>
                      <a:off x="0" y="0"/>
                      <a:ext cx="6557010" cy="3537585"/>
                    </a:xfrm>
                    <a:prstGeom prst="rect">
                      <a:avLst/>
                    </a:prstGeom>
                    <a:noFill/>
                    <a:ln>
                      <a:noFill/>
                    </a:ln>
                  </pic:spPr>
                </pic:pic>
              </a:graphicData>
            </a:graphic>
          </wp:inline>
        </w:drawing>
      </w:r>
    </w:p>
    <w:p w14:paraId="2923C5AD">
      <w:pPr>
        <w:keepNext/>
        <w:keepLines/>
        <w:pageBreakBefore w:val="0"/>
        <w:widowControl w:val="0"/>
        <w:numPr>
          <w:ilvl w:val="2"/>
          <w:numId w:val="0"/>
        </w:numPr>
        <w:kinsoku/>
        <w:wordWrap/>
        <w:overflowPunct/>
        <w:topLinePunct w:val="0"/>
        <w:autoSpaceDE/>
        <w:autoSpaceDN/>
        <w:bidi w:val="0"/>
        <w:adjustRightInd/>
        <w:snapToGrid/>
        <w:spacing w:before="260" w:after="260" w:line="360" w:lineRule="auto"/>
        <w:ind w:leftChars="0"/>
        <w:jc w:val="both"/>
        <w:textAlignment w:val="auto"/>
        <w:outlineLvl w:val="1"/>
        <w:rPr>
          <w:rFonts w:hint="eastAsia" w:asciiTheme="minorEastAsia" w:hAnsiTheme="minorEastAsia" w:eastAsiaTheme="minorEastAsia" w:cstheme="minorEastAsia"/>
          <w:sz w:val="24"/>
          <w:szCs w:val="24"/>
          <w:lang w:val="en-US" w:eastAsia="zh-CN"/>
        </w:rPr>
      </w:pPr>
      <w:bookmarkStart w:id="22" w:name="_Toc24231"/>
      <w:r>
        <w:rPr>
          <w:rFonts w:hint="eastAsia" w:asciiTheme="minorEastAsia" w:hAnsiTheme="minorEastAsia" w:eastAsiaTheme="minorEastAsia" w:cstheme="minorEastAsia"/>
          <w:b/>
          <w:bCs/>
          <w:kern w:val="2"/>
          <w:sz w:val="24"/>
          <w:szCs w:val="24"/>
          <w:lang w:val="en-US" w:eastAsia="zh-CN" w:bidi="ar-SA"/>
        </w:rPr>
        <w:t>5.查看主场订餐信息</w:t>
      </w:r>
      <w:bookmarkEnd w:id="22"/>
    </w:p>
    <w:p w14:paraId="5E633D56">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点击“订餐”可以查看主场设置的订餐信息。</w:t>
      </w:r>
    </w:p>
    <w:p w14:paraId="584AFB54">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p>
    <w:p w14:paraId="3E76659E">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458585" cy="1851660"/>
            <wp:effectExtent l="0" t="0" r="18415" b="1524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42"/>
                    <a:stretch>
                      <a:fillRect/>
                    </a:stretch>
                  </pic:blipFill>
                  <pic:spPr>
                    <a:xfrm>
                      <a:off x="0" y="0"/>
                      <a:ext cx="6458585" cy="1851660"/>
                    </a:xfrm>
                    <a:prstGeom prst="rect">
                      <a:avLst/>
                    </a:prstGeom>
                    <a:noFill/>
                    <a:ln>
                      <a:noFill/>
                    </a:ln>
                  </pic:spPr>
                </pic:pic>
              </a:graphicData>
            </a:graphic>
          </wp:inline>
        </w:drawing>
      </w:r>
    </w:p>
    <w:p w14:paraId="43355794">
      <w:pPr>
        <w:pStyle w:val="2"/>
        <w:pageBreakBefore w:val="0"/>
        <w:widowControl w:val="0"/>
        <w:numPr>
          <w:ilvl w:val="0"/>
          <w:numId w:val="0"/>
        </w:numPr>
        <w:kinsoku/>
        <w:wordWrap/>
        <w:overflowPunct/>
        <w:topLinePunct w:val="0"/>
        <w:autoSpaceDE/>
        <w:autoSpaceDN/>
        <w:bidi w:val="0"/>
        <w:adjustRightInd/>
        <w:snapToGrid/>
        <w:spacing w:before="120" w:beforeLines="-2147483648" w:beforeAutospacing="0" w:after="120" w:afterLines="-2147483648" w:afterAutospacing="0" w:line="360" w:lineRule="auto"/>
        <w:textAlignment w:val="auto"/>
        <w:rPr>
          <w:rFonts w:hint="eastAsia" w:asciiTheme="minorEastAsia" w:hAnsiTheme="minorEastAsia" w:eastAsiaTheme="minorEastAsia" w:cstheme="minorEastAsia"/>
          <w:b/>
          <w:bCs/>
          <w:kern w:val="44"/>
          <w:sz w:val="24"/>
          <w:szCs w:val="24"/>
          <w:lang w:val="en-US" w:eastAsia="zh-CN" w:bidi="ar-SA"/>
        </w:rPr>
      </w:pPr>
      <w:bookmarkStart w:id="23" w:name="_Toc7206"/>
      <w:r>
        <w:rPr>
          <w:rFonts w:hint="eastAsia" w:asciiTheme="minorEastAsia" w:hAnsiTheme="minorEastAsia" w:eastAsiaTheme="minorEastAsia" w:cstheme="minorEastAsia"/>
          <w:b/>
          <w:bCs/>
          <w:kern w:val="44"/>
          <w:sz w:val="24"/>
          <w:szCs w:val="24"/>
          <w:lang w:val="en-US" w:eastAsia="zh-CN" w:bidi="ar-SA"/>
        </w:rPr>
        <w:t>四、个人中心功能介绍</w:t>
      </w:r>
      <w:bookmarkEnd w:id="23"/>
    </w:p>
    <w:p w14:paraId="6A19A9BF">
      <w:pPr>
        <w:pStyle w:val="3"/>
        <w:pageBreakBefore w:val="0"/>
        <w:widowControl w:val="0"/>
        <w:numPr>
          <w:ilvl w:val="0"/>
          <w:numId w:val="6"/>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bookmarkStart w:id="24" w:name="_Toc15937"/>
      <w:r>
        <w:rPr>
          <w:rFonts w:hint="eastAsia" w:asciiTheme="minorEastAsia" w:hAnsiTheme="minorEastAsia" w:eastAsiaTheme="minorEastAsia" w:cstheme="minorEastAsia"/>
          <w:sz w:val="24"/>
          <w:szCs w:val="24"/>
          <w:lang w:val="en-US" w:eastAsia="zh-CN"/>
        </w:rPr>
        <w:t>用户关注</w:t>
      </w:r>
      <w:bookmarkEnd w:id="24"/>
    </w:p>
    <w:p w14:paraId="79B198F2">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此功能主要是方便交易中心之间的合作，关注的交易中心可以在项目组建挑选副场时第一时间内展示出来。</w:t>
      </w:r>
    </w:p>
    <w:p w14:paraId="0628DC91">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p>
    <w:p w14:paraId="273B34E4">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560185" cy="3307715"/>
            <wp:effectExtent l="0" t="0" r="12065" b="698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3"/>
                    <a:stretch>
                      <a:fillRect/>
                    </a:stretch>
                  </pic:blipFill>
                  <pic:spPr>
                    <a:xfrm>
                      <a:off x="0" y="0"/>
                      <a:ext cx="6560185" cy="3307715"/>
                    </a:xfrm>
                    <a:prstGeom prst="rect">
                      <a:avLst/>
                    </a:prstGeom>
                    <a:noFill/>
                    <a:ln>
                      <a:noFill/>
                    </a:ln>
                  </pic:spPr>
                </pic:pic>
              </a:graphicData>
            </a:graphic>
          </wp:inline>
        </w:drawing>
      </w:r>
    </w:p>
    <w:p w14:paraId="62896CAC">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p>
    <w:p w14:paraId="20D43C0D">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550025" cy="2359660"/>
            <wp:effectExtent l="0" t="0" r="3175"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4"/>
                    <a:stretch>
                      <a:fillRect/>
                    </a:stretch>
                  </pic:blipFill>
                  <pic:spPr>
                    <a:xfrm>
                      <a:off x="0" y="0"/>
                      <a:ext cx="6550025" cy="2359660"/>
                    </a:xfrm>
                    <a:prstGeom prst="rect">
                      <a:avLst/>
                    </a:prstGeom>
                    <a:noFill/>
                    <a:ln>
                      <a:noFill/>
                    </a:ln>
                  </pic:spPr>
                </pic:pic>
              </a:graphicData>
            </a:graphic>
          </wp:inline>
        </w:drawing>
      </w:r>
    </w:p>
    <w:p w14:paraId="240A1070">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p>
    <w:p w14:paraId="5786BECB">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p>
    <w:p w14:paraId="41630538">
      <w:pPr>
        <w:pStyle w:val="3"/>
        <w:keepNext/>
        <w:keepLines/>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bookmarkStart w:id="25" w:name="_Toc16982"/>
      <w:r>
        <w:rPr>
          <w:rFonts w:hint="eastAsia" w:asciiTheme="minorEastAsia" w:hAnsiTheme="minorEastAsia" w:eastAsiaTheme="minorEastAsia" w:cstheme="minorEastAsia"/>
          <w:sz w:val="24"/>
          <w:szCs w:val="24"/>
          <w:lang w:val="en-US" w:eastAsia="zh-CN"/>
        </w:rPr>
        <w:t>平板绑定</w:t>
      </w:r>
      <w:bookmarkEnd w:id="25"/>
    </w:p>
    <w:p w14:paraId="1302B360">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此功能用于多因子评标互动终端和电脑之间的绑定。用终端扫码二维码即可。还可以进行终端功能测试，此功能由工作人员统一维护。</w:t>
      </w:r>
    </w:p>
    <w:p w14:paraId="0A4446A7">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144260" cy="2886710"/>
            <wp:effectExtent l="0" t="0" r="8890" b="8890"/>
            <wp:docPr id="9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
                    <pic:cNvPicPr>
                      <a:picLocks noChangeAspect="1"/>
                    </pic:cNvPicPr>
                  </pic:nvPicPr>
                  <pic:blipFill>
                    <a:blip r:embed="rId45"/>
                    <a:stretch>
                      <a:fillRect/>
                    </a:stretch>
                  </pic:blipFill>
                  <pic:spPr>
                    <a:xfrm>
                      <a:off x="0" y="0"/>
                      <a:ext cx="6144260" cy="2886710"/>
                    </a:xfrm>
                    <a:prstGeom prst="rect">
                      <a:avLst/>
                    </a:prstGeom>
                    <a:noFill/>
                    <a:ln>
                      <a:noFill/>
                    </a:ln>
                  </pic:spPr>
                </pic:pic>
              </a:graphicData>
            </a:graphic>
          </wp:inline>
        </w:drawing>
      </w:r>
    </w:p>
    <w:p w14:paraId="62DD1E72">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p>
    <w:p w14:paraId="4C0626A4">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p>
    <w:p w14:paraId="2F7B3F09">
      <w:pPr>
        <w:pStyle w:val="3"/>
        <w:keepNext/>
        <w:keepLines/>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bookmarkStart w:id="26" w:name="_Toc18518"/>
      <w:r>
        <w:rPr>
          <w:rFonts w:hint="eastAsia" w:asciiTheme="minorEastAsia" w:hAnsiTheme="minorEastAsia" w:eastAsiaTheme="minorEastAsia" w:cstheme="minorEastAsia"/>
          <w:sz w:val="24"/>
          <w:szCs w:val="24"/>
          <w:lang w:val="en-US" w:eastAsia="zh-CN"/>
        </w:rPr>
        <w:t>副场池信息</w:t>
      </w:r>
      <w:bookmarkEnd w:id="26"/>
    </w:p>
    <w:p w14:paraId="1319D4FB">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各地市副场池由后台工作人员统一维护，请不要删除或修改。</w:t>
      </w:r>
    </w:p>
    <w:p w14:paraId="2C985FEB">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6673850" cy="3136900"/>
            <wp:effectExtent l="0" t="0" r="12700" b="6350"/>
            <wp:docPr id="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1"/>
                    <pic:cNvPicPr>
                      <a:picLocks noChangeAspect="1"/>
                    </pic:cNvPicPr>
                  </pic:nvPicPr>
                  <pic:blipFill>
                    <a:blip r:embed="rId46"/>
                    <a:stretch>
                      <a:fillRect/>
                    </a:stretch>
                  </pic:blipFill>
                  <pic:spPr>
                    <a:xfrm>
                      <a:off x="0" y="0"/>
                      <a:ext cx="6673850" cy="3136900"/>
                    </a:xfrm>
                    <a:prstGeom prst="rect">
                      <a:avLst/>
                    </a:prstGeom>
                    <a:noFill/>
                    <a:ln>
                      <a:noFill/>
                    </a:ln>
                  </pic:spPr>
                </pic:pic>
              </a:graphicData>
            </a:graphic>
          </wp:inline>
        </w:drawing>
      </w:r>
    </w:p>
    <w:p w14:paraId="7AF27036">
      <w:pPr>
        <w:pStyle w:val="2"/>
        <w:pageBreakBefore w:val="0"/>
        <w:widowControl w:val="0"/>
        <w:numPr>
          <w:ilvl w:val="0"/>
          <w:numId w:val="0"/>
        </w:numPr>
        <w:kinsoku/>
        <w:wordWrap/>
        <w:overflowPunct/>
        <w:topLinePunct w:val="0"/>
        <w:autoSpaceDE/>
        <w:autoSpaceDN/>
        <w:bidi w:val="0"/>
        <w:adjustRightInd/>
        <w:snapToGrid/>
        <w:spacing w:before="120" w:beforeLines="-2147483648" w:beforeAutospacing="0" w:after="120" w:afterLines="-2147483648" w:afterAutospacing="0" w:line="360" w:lineRule="auto"/>
        <w:ind w:firstLine="482" w:firstLineChars="200"/>
        <w:textAlignment w:val="auto"/>
        <w:rPr>
          <w:rFonts w:hint="eastAsia" w:asciiTheme="minorEastAsia" w:hAnsiTheme="minorEastAsia" w:eastAsiaTheme="minorEastAsia" w:cstheme="minorEastAsia"/>
          <w:b/>
          <w:bCs/>
          <w:kern w:val="44"/>
          <w:sz w:val="24"/>
          <w:szCs w:val="24"/>
          <w:lang w:val="en-US" w:eastAsia="zh-CN" w:bidi="ar-SA"/>
        </w:rPr>
      </w:pPr>
      <w:bookmarkStart w:id="27" w:name="_Toc19274"/>
      <w:r>
        <w:rPr>
          <w:rFonts w:hint="eastAsia" w:asciiTheme="minorEastAsia" w:hAnsiTheme="minorEastAsia" w:eastAsiaTheme="minorEastAsia" w:cstheme="minorEastAsia"/>
          <w:b/>
          <w:bCs/>
          <w:kern w:val="44"/>
          <w:sz w:val="24"/>
          <w:szCs w:val="24"/>
          <w:lang w:val="en-US" w:eastAsia="zh-CN" w:bidi="ar-SA"/>
        </w:rPr>
        <w:t>五、评委操作指南</w:t>
      </w:r>
      <w:bookmarkEnd w:id="27"/>
    </w:p>
    <w:p w14:paraId="4DC7C1C3">
      <w:pPr>
        <w:pStyle w:val="3"/>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lang w:val="en-US" w:eastAsia="zh-CN"/>
        </w:rPr>
      </w:pPr>
      <w:bookmarkStart w:id="28" w:name="_Toc24709"/>
      <w:r>
        <w:rPr>
          <w:rFonts w:hint="eastAsia" w:asciiTheme="minorEastAsia" w:hAnsiTheme="minorEastAsia" w:eastAsiaTheme="minorEastAsia" w:cstheme="minorEastAsia"/>
          <w:sz w:val="24"/>
          <w:szCs w:val="24"/>
          <w:lang w:val="en-US" w:eastAsia="zh-CN"/>
        </w:rPr>
        <w:t>1.评委登录</w:t>
      </w:r>
      <w:bookmarkEnd w:id="28"/>
    </w:p>
    <w:p w14:paraId="12A20E00">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评委需携带身份证参与远程异地评标，评标开始后，将身份证按示例图所示放到身份证识别区，系统自动识别评委身份，通过刷脸二次认证后自动跳转至评标系统评标页面，点击评标项目进入评标流程开始评标。</w:t>
      </w:r>
    </w:p>
    <w:p w14:paraId="0B10E60D">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564630" cy="2667000"/>
            <wp:effectExtent l="0" t="0" r="7620"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7"/>
                    <a:stretch>
                      <a:fillRect/>
                    </a:stretch>
                  </pic:blipFill>
                  <pic:spPr>
                    <a:xfrm>
                      <a:off x="0" y="0"/>
                      <a:ext cx="6564630" cy="2667000"/>
                    </a:xfrm>
                    <a:prstGeom prst="rect">
                      <a:avLst/>
                    </a:prstGeom>
                    <a:noFill/>
                    <a:ln>
                      <a:noFill/>
                    </a:ln>
                  </pic:spPr>
                </pic:pic>
              </a:graphicData>
            </a:graphic>
          </wp:inline>
        </w:drawing>
      </w:r>
    </w:p>
    <w:p w14:paraId="58197771">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649085" cy="3724275"/>
            <wp:effectExtent l="0" t="0" r="18415" b="952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48"/>
                    <a:stretch>
                      <a:fillRect/>
                    </a:stretch>
                  </pic:blipFill>
                  <pic:spPr>
                    <a:xfrm>
                      <a:off x="0" y="0"/>
                      <a:ext cx="6649085" cy="3724275"/>
                    </a:xfrm>
                    <a:prstGeom prst="rect">
                      <a:avLst/>
                    </a:prstGeom>
                    <a:noFill/>
                    <a:ln>
                      <a:noFill/>
                    </a:ln>
                  </pic:spPr>
                </pic:pic>
              </a:graphicData>
            </a:graphic>
          </wp:inline>
        </w:drawing>
      </w:r>
    </w:p>
    <w:p w14:paraId="66DB3EF9">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6684010" cy="3098165"/>
            <wp:effectExtent l="0" t="0" r="2540" b="6985"/>
            <wp:docPr id="35" name="图片 35" descr="172724244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7242444806"/>
                    <pic:cNvPicPr>
                      <a:picLocks noChangeAspect="1"/>
                    </pic:cNvPicPr>
                  </pic:nvPicPr>
                  <pic:blipFill>
                    <a:blip r:embed="rId49"/>
                    <a:stretch>
                      <a:fillRect/>
                    </a:stretch>
                  </pic:blipFill>
                  <pic:spPr>
                    <a:xfrm>
                      <a:off x="0" y="0"/>
                      <a:ext cx="6684010" cy="3098165"/>
                    </a:xfrm>
                    <a:prstGeom prst="rect">
                      <a:avLst/>
                    </a:prstGeom>
                  </pic:spPr>
                </pic:pic>
              </a:graphicData>
            </a:graphic>
          </wp:inline>
        </w:drawing>
      </w:r>
    </w:p>
    <w:p w14:paraId="6028619F">
      <w:pPr>
        <w:pStyle w:val="3"/>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heme="minorEastAsia" w:hAnsiTheme="minorEastAsia" w:eastAsiaTheme="minorEastAsia" w:cstheme="minorEastAsia"/>
          <w:sz w:val="24"/>
          <w:szCs w:val="24"/>
          <w:highlight w:val="none"/>
          <w:lang w:val="en-US" w:eastAsia="zh-CN"/>
        </w:rPr>
      </w:pPr>
      <w:bookmarkStart w:id="29" w:name="_Toc28604"/>
      <w:r>
        <w:rPr>
          <w:rFonts w:hint="eastAsia" w:asciiTheme="minorEastAsia" w:hAnsiTheme="minorEastAsia" w:eastAsiaTheme="minorEastAsia" w:cstheme="minorEastAsia"/>
          <w:sz w:val="24"/>
          <w:szCs w:val="24"/>
          <w:highlight w:val="none"/>
          <w:lang w:val="en-US" w:eastAsia="zh-CN"/>
        </w:rPr>
        <w:t>2.评委在线视频沟通交流及音视频存储</w:t>
      </w:r>
      <w:bookmarkEnd w:id="29"/>
    </w:p>
    <w:p w14:paraId="1DAD5840">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评标专家通过易彩虹进入评标系统后，评委电脑桌面自动展示视频会议沟通系统，专家老师可通过耳机麦克风视频交流沟通。</w:t>
      </w:r>
    </w:p>
    <w:p w14:paraId="7A1DA4B9">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注：</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sz w:val="24"/>
          <w:szCs w:val="24"/>
          <w:lang w:val="en-US" w:eastAsia="zh-CN"/>
        </w:rPr>
        <w:t>请在电脑 “程序和功能” 中核查四合一客户端安装包版本，当前版本号为 1.2.0；若并非最新版本，请卸载后重新安装最新版本。</w:t>
      </w:r>
    </w:p>
    <w:p w14:paraId="58320859">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79950" cy="1905000"/>
            <wp:effectExtent l="0" t="0" r="1397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50"/>
                    <a:stretch>
                      <a:fillRect/>
                    </a:stretch>
                  </pic:blipFill>
                  <pic:spPr>
                    <a:xfrm>
                      <a:off x="0" y="0"/>
                      <a:ext cx="4679950" cy="1905000"/>
                    </a:xfrm>
                    <a:prstGeom prst="rect">
                      <a:avLst/>
                    </a:prstGeom>
                    <a:noFill/>
                    <a:ln>
                      <a:noFill/>
                    </a:ln>
                  </pic:spPr>
                </pic:pic>
              </a:graphicData>
            </a:graphic>
          </wp:inline>
        </w:drawing>
      </w:r>
    </w:p>
    <w:p w14:paraId="3415518F">
      <w:pPr>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（2）请确保电脑具备麦克风、摄像头访问权限。（设置-隐私和安全性-摄像头或麦克风）</w:t>
      </w:r>
      <w:r>
        <w:rPr>
          <w:rFonts w:hint="eastAsia" w:ascii="宋体" w:hAnsi="宋体" w:eastAsia="宋体" w:cs="宋体"/>
          <w:sz w:val="24"/>
          <w:szCs w:val="24"/>
          <w:lang w:val="en-US" w:eastAsia="zh-CN"/>
        </w:rPr>
        <w:br w:type="textWrapping"/>
      </w:r>
      <w:r>
        <w:rPr>
          <w:rFonts w:hint="eastAsia" w:ascii="宋体" w:hAnsi="宋体" w:eastAsia="宋体" w:cs="宋体"/>
          <w:sz w:val="24"/>
          <w:szCs w:val="24"/>
        </w:rPr>
        <w:drawing>
          <wp:inline distT="0" distB="0" distL="114300" distR="114300">
            <wp:extent cx="4679950" cy="2136775"/>
            <wp:effectExtent l="0" t="0" r="13970" b="1206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4679950" cy="2136775"/>
                    </a:xfrm>
                    <a:prstGeom prst="rect">
                      <a:avLst/>
                    </a:prstGeom>
                    <a:noFill/>
                    <a:ln>
                      <a:noFill/>
                    </a:ln>
                  </pic:spPr>
                </pic:pic>
              </a:graphicData>
            </a:graphic>
          </wp:inline>
        </w:drawing>
      </w:r>
      <w:r>
        <w:rPr>
          <w:rFonts w:hint="eastAsia" w:ascii="宋体" w:hAnsi="宋体" w:eastAsia="宋体" w:cs="宋体"/>
          <w:sz w:val="24"/>
          <w:szCs w:val="24"/>
        </w:rPr>
        <w:br w:type="textWrapping"/>
      </w:r>
      <w:r>
        <w:rPr>
          <w:rFonts w:hint="eastAsia" w:ascii="宋体" w:hAnsi="宋体" w:eastAsia="宋体" w:cs="宋体"/>
          <w:sz w:val="24"/>
          <w:szCs w:val="24"/>
        </w:rPr>
        <w:drawing>
          <wp:inline distT="0" distB="0" distL="114300" distR="114300">
            <wp:extent cx="4679950" cy="2677160"/>
            <wp:effectExtent l="0" t="0" r="13970" b="508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52"/>
                    <a:stretch>
                      <a:fillRect/>
                    </a:stretch>
                  </pic:blipFill>
                  <pic:spPr>
                    <a:xfrm>
                      <a:off x="0" y="0"/>
                      <a:ext cx="4679950" cy="2677160"/>
                    </a:xfrm>
                    <a:prstGeom prst="rect">
                      <a:avLst/>
                    </a:prstGeom>
                    <a:noFill/>
                    <a:ln>
                      <a:noFill/>
                    </a:ln>
                  </pic:spPr>
                </pic:pic>
              </a:graphicData>
            </a:graphic>
          </wp:inline>
        </w:drawing>
      </w:r>
    </w:p>
    <w:p w14:paraId="7A83E156">
      <w:pPr>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（3）若评委登录后四合一没有自启动，可手动点击评标系统右上角“视频会议”按钮启动客户端：</w:t>
      </w:r>
    </w:p>
    <w:p w14:paraId="5552A76E">
      <w:pPr>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ascii="宋体" w:hAnsi="宋体" w:eastAsia="宋体" w:cs="宋体"/>
          <w:sz w:val="24"/>
          <w:szCs w:val="24"/>
          <w:lang w:val="en-US" w:eastAsia="zh-CN"/>
        </w:rPr>
        <w:br w:type="textWrapping"/>
      </w:r>
      <w:r>
        <w:rPr>
          <w:rFonts w:hint="eastAsia" w:ascii="宋体" w:hAnsi="宋体" w:eastAsia="宋体" w:cs="宋体"/>
          <w:sz w:val="24"/>
          <w:szCs w:val="24"/>
        </w:rPr>
        <w:drawing>
          <wp:inline distT="0" distB="0" distL="114300" distR="114300">
            <wp:extent cx="4679950" cy="2370455"/>
            <wp:effectExtent l="0" t="0" r="13970" b="698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53"/>
                    <a:stretch>
                      <a:fillRect/>
                    </a:stretch>
                  </pic:blipFill>
                  <pic:spPr>
                    <a:xfrm>
                      <a:off x="0" y="0"/>
                      <a:ext cx="4679950" cy="2370455"/>
                    </a:xfrm>
                    <a:prstGeom prst="rect">
                      <a:avLst/>
                    </a:prstGeom>
                    <a:noFill/>
                    <a:ln>
                      <a:noFill/>
                    </a:ln>
                  </pic:spPr>
                </pic:pic>
              </a:graphicData>
            </a:graphic>
          </wp:inline>
        </w:drawing>
      </w:r>
    </w:p>
    <w:p w14:paraId="36AEF1AB">
      <w:pPr>
        <w:pStyle w:val="3"/>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highlight w:val="none"/>
          <w:lang w:val="en-US" w:eastAsia="zh-CN"/>
        </w:rPr>
      </w:pPr>
      <w:bookmarkStart w:id="30" w:name="_Toc6612"/>
      <w:r>
        <w:rPr>
          <w:rFonts w:hint="eastAsia" w:asciiTheme="minorEastAsia" w:hAnsiTheme="minorEastAsia" w:eastAsiaTheme="minorEastAsia" w:cstheme="minorEastAsia"/>
          <w:sz w:val="24"/>
          <w:szCs w:val="24"/>
          <w:highlight w:val="none"/>
          <w:lang w:val="en-US" w:eastAsia="zh-CN"/>
        </w:rPr>
        <w:t>3.评委签章</w:t>
      </w:r>
      <w:bookmarkEnd w:id="1"/>
      <w:bookmarkEnd w:id="2"/>
      <w:bookmarkEnd w:id="30"/>
    </w:p>
    <w:p w14:paraId="55E7A55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评标专家点击“操作”按钮进入签章页面，在多因子设备上使用</w:t>
      </w:r>
      <w:r>
        <w:rPr>
          <w:rFonts w:hint="eastAsia" w:asciiTheme="minorEastAsia" w:hAnsiTheme="minorEastAsia" w:cstheme="minorEastAsia"/>
          <w:b/>
          <w:bCs/>
          <w:color w:val="FF0000"/>
          <w:sz w:val="24"/>
          <w:szCs w:val="24"/>
          <w:lang w:val="en-US" w:eastAsia="zh-CN"/>
        </w:rPr>
        <w:t>手指滑动</w:t>
      </w:r>
      <w:r>
        <w:rPr>
          <w:rFonts w:hint="eastAsia" w:asciiTheme="minorEastAsia" w:hAnsiTheme="minorEastAsia" w:eastAsiaTheme="minorEastAsia" w:cstheme="minorEastAsia"/>
          <w:sz w:val="24"/>
          <w:szCs w:val="24"/>
          <w:lang w:val="en-US" w:eastAsia="zh-CN"/>
        </w:rPr>
        <w:t>签字即可。</w:t>
      </w:r>
    </w:p>
    <w:p w14:paraId="7E0EDA6F">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color w:val="FF0000"/>
          <w:sz w:val="24"/>
          <w:szCs w:val="24"/>
          <w:lang w:val="en-US" w:eastAsia="zh-CN"/>
        </w:rPr>
      </w:pPr>
      <w:r>
        <w:rPr>
          <w:rFonts w:hint="eastAsia" w:asciiTheme="minorEastAsia" w:hAnsiTheme="minorEastAsia" w:cstheme="minorEastAsia"/>
          <w:b/>
          <w:bCs/>
          <w:color w:val="FF0000"/>
          <w:sz w:val="24"/>
          <w:szCs w:val="24"/>
          <w:lang w:val="en-US" w:eastAsia="zh-CN"/>
        </w:rPr>
        <w:t>注意：手写笔有时不好用，建议直接使用手指签字即可。</w:t>
      </w:r>
    </w:p>
    <w:p w14:paraId="4AD6A588">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6747510" cy="3858895"/>
            <wp:effectExtent l="0" t="0" r="15240"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4"/>
                    <a:stretch>
                      <a:fillRect/>
                    </a:stretch>
                  </pic:blipFill>
                  <pic:spPr>
                    <a:xfrm>
                      <a:off x="0" y="0"/>
                      <a:ext cx="6747510" cy="3858895"/>
                    </a:xfrm>
                    <a:prstGeom prst="rect">
                      <a:avLst/>
                    </a:prstGeom>
                    <a:noFill/>
                    <a:ln>
                      <a:noFill/>
                    </a:ln>
                  </pic:spPr>
                </pic:pic>
              </a:graphicData>
            </a:graphic>
          </wp:inline>
        </w:drawing>
      </w:r>
    </w:p>
    <w:p w14:paraId="037309DC">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bookmarkStart w:id="31" w:name="_Toc1798"/>
      <w:r>
        <w:rPr>
          <w:rFonts w:hint="eastAsia" w:asciiTheme="minorEastAsia" w:hAnsiTheme="minorEastAsia" w:eastAsiaTheme="minorEastAsia" w:cstheme="minorEastAsia"/>
          <w:sz w:val="24"/>
          <w:szCs w:val="24"/>
          <w:lang w:val="en-US" w:eastAsia="zh-CN"/>
        </w:rPr>
        <w:t>4.评委费发放</w:t>
      </w:r>
      <w:bookmarkEnd w:id="31"/>
    </w:p>
    <w:p w14:paraId="2999F6E7">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专家费发放与非远程异地评标项目发放流程一致，代理登录系统，在定标→评审费线上自动发放/评审费线下手动发放功能模块下挑选项目发放评委费。</w:t>
      </w:r>
    </w:p>
    <w:p w14:paraId="79133C69">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i/>
          <w:iCs/>
          <w:color w:val="FF0000"/>
          <w:sz w:val="24"/>
          <w:szCs w:val="24"/>
          <w:lang w:val="en-US" w:eastAsia="zh-CN"/>
        </w:rPr>
      </w:pPr>
      <w:r>
        <w:rPr>
          <w:rFonts w:hint="eastAsia" w:asciiTheme="minorEastAsia" w:hAnsiTheme="minorEastAsia" w:eastAsiaTheme="minorEastAsia" w:cstheme="minorEastAsia"/>
          <w:b w:val="0"/>
          <w:bCs w:val="0"/>
          <w:i/>
          <w:iCs/>
          <w:color w:val="FF0000"/>
          <w:sz w:val="24"/>
          <w:szCs w:val="24"/>
          <w:lang w:val="en-US" w:eastAsia="zh-CN"/>
        </w:rPr>
        <w:t>注意：评审费线上自动发放需代理机构和专家老师在系统登记的账户都是吉林银行才可以实现专家费线上自动发放，评标专家应当在参加评标活动前，将银行卡账号信息维护到公共资源交易一体化平台（登录地址为：https://www.ggzyyth.jl.cn/EpointSSO/memberLogin?type=3）。</w:t>
      </w:r>
    </w:p>
    <w:p w14:paraId="4BB9BF29">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469380" cy="2159635"/>
            <wp:effectExtent l="0" t="0" r="762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5"/>
                    <a:stretch>
                      <a:fillRect/>
                    </a:stretch>
                  </pic:blipFill>
                  <pic:spPr>
                    <a:xfrm>
                      <a:off x="0" y="0"/>
                      <a:ext cx="6469380" cy="2159635"/>
                    </a:xfrm>
                    <a:prstGeom prst="rect">
                      <a:avLst/>
                    </a:prstGeom>
                    <a:noFill/>
                    <a:ln>
                      <a:noFill/>
                    </a:ln>
                  </pic:spPr>
                </pic:pic>
              </a:graphicData>
            </a:graphic>
          </wp:inline>
        </w:drawing>
      </w:r>
    </w:p>
    <w:p w14:paraId="368CED9A">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14:paraId="25DAA18A">
      <w:pPr>
        <w:pStyle w:val="3"/>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lang w:val="en-US" w:eastAsia="zh-CN"/>
        </w:rPr>
      </w:pPr>
      <w:bookmarkStart w:id="32" w:name="_Toc25844"/>
      <w:r>
        <w:rPr>
          <w:rFonts w:hint="eastAsia" w:asciiTheme="minorEastAsia" w:hAnsiTheme="minorEastAsia" w:eastAsiaTheme="minorEastAsia" w:cstheme="minorEastAsia"/>
          <w:sz w:val="24"/>
          <w:szCs w:val="24"/>
          <w:lang w:val="en-US" w:eastAsia="zh-CN"/>
        </w:rPr>
        <w:t>5.视频档案拷贝：</w:t>
      </w:r>
      <w:bookmarkEnd w:id="32"/>
    </w:p>
    <w:p w14:paraId="0726E576">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评标结束后，所有评委老师的桌面录屏将于每日 23:00 由定时服务（时间可自定义调整）自动打包，并存储至主场交易中心 “录像文件存储服务器” 的 “挂载磁盘 - videos” 文件夹中，文件将按标段名称自动命名。</w:t>
      </w:r>
    </w:p>
    <w:p w14:paraId="7E0496AB">
      <w:pPr>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heme="minorEastAsia" w:hAnsiTheme="minorEastAsia" w:cstheme="minorEastAsia"/>
          <w:sz w:val="24"/>
          <w:szCs w:val="24"/>
          <w:lang w:val="en-US" w:eastAsia="zh-CN"/>
        </w:rPr>
      </w:pPr>
      <w:r>
        <w:drawing>
          <wp:inline distT="0" distB="0" distL="114300" distR="114300">
            <wp:extent cx="4679950" cy="2503170"/>
            <wp:effectExtent l="0" t="0" r="13970" b="1143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56"/>
                    <a:stretch>
                      <a:fillRect/>
                    </a:stretch>
                  </pic:blipFill>
                  <pic:spPr>
                    <a:xfrm>
                      <a:off x="0" y="0"/>
                      <a:ext cx="4679950" cy="2503170"/>
                    </a:xfrm>
                    <a:prstGeom prst="rect">
                      <a:avLst/>
                    </a:prstGeom>
                    <a:noFill/>
                    <a:ln>
                      <a:noFill/>
                    </a:ln>
                  </pic:spPr>
                </pic:pic>
              </a:graphicData>
            </a:graphic>
          </wp:inline>
        </w:drawing>
      </w:r>
      <w:r>
        <w:drawing>
          <wp:inline distT="0" distB="0" distL="114300" distR="114300">
            <wp:extent cx="4679950" cy="1948180"/>
            <wp:effectExtent l="0" t="0" r="13970" b="254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57"/>
                    <a:stretch>
                      <a:fillRect/>
                    </a:stretch>
                  </pic:blipFill>
                  <pic:spPr>
                    <a:xfrm>
                      <a:off x="0" y="0"/>
                      <a:ext cx="4679950" cy="1948180"/>
                    </a:xfrm>
                    <a:prstGeom prst="rect">
                      <a:avLst/>
                    </a:prstGeom>
                    <a:noFill/>
                    <a:ln>
                      <a:noFill/>
                    </a:ln>
                  </pic:spPr>
                </pic:pic>
              </a:graphicData>
            </a:graphic>
          </wp:inline>
        </w:drawing>
      </w:r>
    </w:p>
    <w:p w14:paraId="6A350D8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color w:val="FF0000"/>
          <w:sz w:val="24"/>
          <w:szCs w:val="24"/>
          <w:lang w:val="en-US" w:eastAsia="zh-CN"/>
        </w:rPr>
      </w:pPr>
      <w:r>
        <w:rPr>
          <w:rFonts w:ascii="宋体" w:hAnsi="宋体" w:eastAsia="宋体" w:cs="宋体"/>
          <w:color w:val="FF0000"/>
          <w:sz w:val="24"/>
          <w:szCs w:val="24"/>
        </w:rPr>
        <w:t>注意：</w:t>
      </w:r>
      <w:r>
        <w:rPr>
          <w:rFonts w:hint="eastAsia" w:ascii="宋体" w:hAnsi="宋体" w:eastAsia="宋体" w:cs="宋体"/>
          <w:color w:val="FF0000"/>
          <w:sz w:val="24"/>
          <w:szCs w:val="24"/>
          <w:lang w:val="en-US" w:eastAsia="zh-CN"/>
        </w:rPr>
        <w:t>务必</w:t>
      </w:r>
      <w:r>
        <w:rPr>
          <w:rFonts w:ascii="宋体" w:hAnsi="宋体" w:eastAsia="宋体" w:cs="宋体"/>
          <w:color w:val="FF0000"/>
          <w:sz w:val="24"/>
          <w:szCs w:val="24"/>
        </w:rPr>
        <w:t>每日定期检查录像文件存储管理机对应文件夹，确认是否存在历史评标桌面录屏文件</w:t>
      </w:r>
      <w:r>
        <w:rPr>
          <w:rFonts w:hint="eastAsia" w:ascii="宋体" w:hAnsi="宋体" w:eastAsia="宋体" w:cs="宋体"/>
          <w:color w:val="FF0000"/>
          <w:sz w:val="24"/>
          <w:szCs w:val="24"/>
          <w:lang w:eastAsia="zh-CN"/>
        </w:rPr>
        <w:t>。</w:t>
      </w:r>
    </w:p>
    <w:p w14:paraId="2FF575CF">
      <w:pPr>
        <w:pStyle w:val="3"/>
        <w:pageBreakBefore w:val="0"/>
        <w:widowControl w:val="0"/>
        <w:numPr>
          <w:ilvl w:val="0"/>
          <w:numId w:val="7"/>
        </w:numPr>
        <w:kinsoku/>
        <w:wordWrap/>
        <w:overflowPunct/>
        <w:topLinePunct w:val="0"/>
        <w:autoSpaceDE/>
        <w:autoSpaceDN/>
        <w:bidi w:val="0"/>
        <w:adjustRightInd/>
        <w:snapToGrid/>
        <w:spacing w:line="360" w:lineRule="auto"/>
        <w:ind w:leftChars="0"/>
        <w:textAlignment w:val="auto"/>
        <w:rPr>
          <w:rFonts w:hint="default"/>
          <w:lang w:val="en-US" w:eastAsia="zh-CN"/>
        </w:rPr>
      </w:pPr>
      <w:bookmarkStart w:id="33" w:name="_Toc25293"/>
      <w:r>
        <w:rPr>
          <w:rFonts w:hint="eastAsia" w:asciiTheme="minorEastAsia" w:hAnsiTheme="minorEastAsia" w:eastAsiaTheme="minorEastAsia" w:cstheme="minorEastAsia"/>
          <w:sz w:val="24"/>
          <w:szCs w:val="24"/>
          <w:lang w:val="en-US" w:eastAsia="zh-CN"/>
        </w:rPr>
        <w:t>项目复议</w:t>
      </w:r>
      <w:bookmarkEnd w:id="33"/>
    </w:p>
    <w:p w14:paraId="1AC989A9">
      <w:pPr>
        <w:ind w:firstLine="420" w:firstLineChars="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若项目评标结束后涉及复议流程，需代理公司提前在业务系统“场地复议”功能下新增复议申请，预约复议场地。</w:t>
      </w:r>
    </w:p>
    <w:p w14:paraId="4F4AC846">
      <w:pPr>
        <w:jc w:val="center"/>
      </w:pPr>
      <w:r>
        <w:drawing>
          <wp:inline distT="0" distB="0" distL="114300" distR="114300">
            <wp:extent cx="4679950" cy="2202815"/>
            <wp:effectExtent l="0" t="0" r="13970" b="698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58"/>
                    <a:stretch>
                      <a:fillRect/>
                    </a:stretch>
                  </pic:blipFill>
                  <pic:spPr>
                    <a:xfrm>
                      <a:off x="0" y="0"/>
                      <a:ext cx="4679950" cy="2202815"/>
                    </a:xfrm>
                    <a:prstGeom prst="rect">
                      <a:avLst/>
                    </a:prstGeom>
                    <a:noFill/>
                    <a:ln>
                      <a:noFill/>
                    </a:ln>
                  </pic:spPr>
                </pic:pic>
              </a:graphicData>
            </a:graphic>
          </wp:inline>
        </w:drawing>
      </w:r>
    </w:p>
    <w:p w14:paraId="32EFB6EF">
      <w:pPr>
        <w:ind w:firstLine="420" w:firstLineChars="0"/>
        <w:rPr>
          <w:rFonts w:hint="eastAsia"/>
          <w:lang w:val="en-US" w:eastAsia="zh-CN"/>
        </w:rPr>
      </w:pPr>
      <w:r>
        <w:rPr>
          <w:rFonts w:hint="eastAsia"/>
          <w:lang w:val="en-US" w:eastAsia="zh-CN"/>
        </w:rPr>
        <w:t>复议场地确认后，代理公司/工作人员登录评标系统，点击“项目复议”按钮复制项目。</w:t>
      </w:r>
    </w:p>
    <w:p w14:paraId="05BF28B9">
      <w:pPr>
        <w:jc w:val="center"/>
      </w:pPr>
      <w:r>
        <w:drawing>
          <wp:inline distT="0" distB="0" distL="114300" distR="114300">
            <wp:extent cx="4679950" cy="2233930"/>
            <wp:effectExtent l="0" t="0" r="13970" b="635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59"/>
                    <a:stretch>
                      <a:fillRect/>
                    </a:stretch>
                  </pic:blipFill>
                  <pic:spPr>
                    <a:xfrm>
                      <a:off x="0" y="0"/>
                      <a:ext cx="4679950" cy="2233930"/>
                    </a:xfrm>
                    <a:prstGeom prst="rect">
                      <a:avLst/>
                    </a:prstGeom>
                    <a:noFill/>
                    <a:ln>
                      <a:noFill/>
                    </a:ln>
                  </pic:spPr>
                </pic:pic>
              </a:graphicData>
            </a:graphic>
          </wp:inline>
        </w:drawing>
      </w:r>
    </w:p>
    <w:p w14:paraId="66A07C00">
      <w:pPr>
        <w:rPr>
          <w:rFonts w:hint="eastAsia" w:ascii="Times New Roman" w:eastAsia="宋体"/>
          <w:lang w:val="en-US" w:eastAsia="zh-CN"/>
        </w:rPr>
      </w:pPr>
      <w:r>
        <w:rPr>
          <w:rFonts w:hint="eastAsia"/>
          <w:lang w:val="en-US" w:eastAsia="zh-CN"/>
        </w:rPr>
        <w:t>复议完成后，</w:t>
      </w:r>
      <w:r>
        <w:rPr>
          <w:rFonts w:hint="eastAsia" w:ascii="Times New Roman" w:eastAsia="宋体"/>
          <w:lang w:val="en-US" w:eastAsia="zh-CN"/>
        </w:rPr>
        <w:t>代理公司/工作人员在评标系统中点击“确认评委”，打印评委账号密码后，评委通过账号密码登录评标系统（复议类项目不再通过多因子登录系统，直接通过账号密码登录）。</w:t>
      </w:r>
    </w:p>
    <w:p w14:paraId="3E558B03">
      <w:pPr>
        <w:jc w:val="center"/>
      </w:pPr>
      <w:r>
        <w:drawing>
          <wp:inline distT="0" distB="0" distL="114300" distR="114300">
            <wp:extent cx="4679950" cy="1734820"/>
            <wp:effectExtent l="0" t="0" r="13970" b="254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60"/>
                    <a:stretch>
                      <a:fillRect/>
                    </a:stretch>
                  </pic:blipFill>
                  <pic:spPr>
                    <a:xfrm>
                      <a:off x="0" y="0"/>
                      <a:ext cx="4679950" cy="1734820"/>
                    </a:xfrm>
                    <a:prstGeom prst="rect">
                      <a:avLst/>
                    </a:prstGeom>
                    <a:noFill/>
                    <a:ln>
                      <a:noFill/>
                    </a:ln>
                  </pic:spPr>
                </pic:pic>
              </a:graphicData>
            </a:graphic>
          </wp:inline>
        </w:drawing>
      </w:r>
    </w:p>
    <w:p w14:paraId="3A7D32C7">
      <w:pPr>
        <w:ind w:firstLine="420" w:firstLineChars="200"/>
        <w:rPr>
          <w:rFonts w:hint="default"/>
          <w:lang w:val="en-US" w:eastAsia="zh-CN"/>
        </w:rPr>
      </w:pPr>
      <w:r>
        <w:rPr>
          <w:rFonts w:hint="eastAsia" w:ascii="Times New Roman" w:eastAsia="宋体"/>
          <w:color w:val="FF0000"/>
          <w:lang w:val="en-US" w:eastAsia="zh-CN"/>
        </w:rPr>
        <w:t>注：</w:t>
      </w:r>
      <w:r>
        <w:rPr>
          <w:rFonts w:hint="eastAsia" w:ascii="Times New Roman" w:eastAsia="宋体"/>
          <w:lang w:val="en-US" w:eastAsia="zh-CN"/>
        </w:rPr>
        <w:t>评委进入评标项目后系统自动弹出四合一视频终端，开启远程视频会议，评标结束后，多因子签章，复议视频存储方式与非复议项目一致。</w:t>
      </w:r>
    </w:p>
    <w:p w14:paraId="0AAC6F29">
      <w:pPr>
        <w:pStyle w:val="2"/>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bookmarkStart w:id="34" w:name="_Toc18888"/>
      <w:r>
        <w:rPr>
          <w:rFonts w:hint="eastAsia" w:asciiTheme="minorEastAsia" w:hAnsiTheme="minorEastAsia" w:eastAsiaTheme="minorEastAsia" w:cstheme="minorEastAsia"/>
          <w:sz w:val="24"/>
          <w:szCs w:val="24"/>
          <w:lang w:val="en-US" w:eastAsia="zh-CN"/>
        </w:rPr>
        <w:t>六、远程异地评标技术负责人联络表</w:t>
      </w:r>
      <w:bookmarkEnd w:id="34"/>
    </w:p>
    <w:p w14:paraId="63FCC2F8">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bookmarkStart w:id="35" w:name="_GoBack"/>
      <w:r>
        <w:rPr>
          <w:rFonts w:hint="eastAsia" w:asciiTheme="minorEastAsia" w:hAnsiTheme="minorEastAsia" w:eastAsiaTheme="minorEastAsia" w:cstheme="minorEastAsia"/>
          <w:sz w:val="24"/>
          <w:szCs w:val="24"/>
          <w:lang w:val="en-US" w:eastAsia="zh-CN"/>
        </w:rPr>
        <w:object>
          <v:shape id="_x0000_i1025" o:spt="75" type="#_x0000_t75" style="height:66pt;width:72.75pt;" o:ole="t" filled="f" o:preferrelative="t" stroked="f" coordsize="21600,21600">
            <v:path/>
            <v:fill on="f" focussize="0,0"/>
            <v:stroke on="f"/>
            <v:imagedata r:id="rId62" o:title=""/>
            <o:lock v:ext="edit" aspectratio="t"/>
            <w10:wrap type="none"/>
            <w10:anchorlock/>
          </v:shape>
          <o:OLEObject Type="Embed" ProgID="Excel.Sheet.12" ShapeID="_x0000_i1025" DrawAspect="Icon" ObjectID="_1468075725" r:id="rId61">
            <o:LockedField>false</o:LockedField>
          </o:OLEObject>
        </w:object>
      </w:r>
      <w:bookmarkEnd w:id="35"/>
      <w:r>
        <w:rPr>
          <w:rFonts w:hint="eastAsia" w:asciiTheme="minorEastAsia" w:hAnsiTheme="minorEastAsia" w:cstheme="minorEastAsia"/>
          <w:sz w:val="24"/>
          <w:szCs w:val="24"/>
          <w:lang w:val="en-US" w:eastAsia="zh-CN"/>
        </w:rPr>
        <w:t xml:space="preserve"> </w:t>
      </w:r>
    </w:p>
    <w:sectPr>
      <w:headerReference r:id="rId3" w:type="default"/>
      <w:footerReference r:id="rId4" w:type="default"/>
      <w:pgSz w:w="11906" w:h="16838"/>
      <w:pgMar w:top="720" w:right="720" w:bottom="720" w:left="720" w:header="851" w:footer="992" w:gutter="0"/>
      <w:pgBorders>
        <w:top w:val="single" w:color="auto" w:sz="4" w:space="1"/>
        <w:left w:val="single" w:color="auto" w:sz="4" w:space="4"/>
        <w:bottom w:val="single" w:color="auto" w:sz="4" w:space="1"/>
        <w:right w:val="single" w:color="auto" w:sz="4"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DF9AC">
    <w:pPr>
      <w:pStyle w:val="9"/>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8D483">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FE8D483">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技术支持：国泰新点软件股份有限公司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3EAF7">
    <w:pPr>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jc w:val="center"/>
      <w:textAlignment w:val="auto"/>
      <w:rPr>
        <w:rFonts w:hint="eastAsia" w:eastAsiaTheme="minorEastAsia"/>
        <w:b w:val="0"/>
        <w:bCs w:val="0"/>
        <w:sz w:val="16"/>
        <w:szCs w:val="16"/>
        <w:lang w:val="en-US" w:eastAsia="zh-CN"/>
      </w:rPr>
    </w:pPr>
    <w:r>
      <w:rPr>
        <w:rFonts w:hint="eastAsia"/>
        <w:b w:val="0"/>
        <w:bCs w:val="0"/>
        <w:sz w:val="16"/>
        <w:szCs w:val="16"/>
        <w:lang w:val="en-US" w:eastAsia="zh-CN"/>
      </w:rPr>
      <w:t>吉林省</w:t>
    </w:r>
    <w:r>
      <w:rPr>
        <w:rFonts w:hint="eastAsia" w:asciiTheme="minorEastAsia" w:hAnsiTheme="minorEastAsia" w:eastAsiaTheme="minorEastAsia" w:cstheme="minorEastAsia"/>
        <w:b w:val="0"/>
        <w:bCs w:val="0"/>
        <w:sz w:val="16"/>
        <w:szCs w:val="16"/>
        <w:lang w:val="en-US" w:eastAsia="zh-CN"/>
      </w:rPr>
      <w:t>吉林省一体化平台远程异地评标工作人员操作手册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90BF1D"/>
    <w:multiLevelType w:val="singleLevel"/>
    <w:tmpl w:val="8D90BF1D"/>
    <w:lvl w:ilvl="0" w:tentative="0">
      <w:start w:val="1"/>
      <w:numFmt w:val="decimal"/>
      <w:suff w:val="nothing"/>
      <w:lvlText w:val="%1、"/>
      <w:lvlJc w:val="left"/>
    </w:lvl>
  </w:abstractNum>
  <w:abstractNum w:abstractNumId="1">
    <w:nsid w:val="9076CFC3"/>
    <w:multiLevelType w:val="singleLevel"/>
    <w:tmpl w:val="9076CFC3"/>
    <w:lvl w:ilvl="0" w:tentative="0">
      <w:start w:val="1"/>
      <w:numFmt w:val="chineseCounting"/>
      <w:suff w:val="nothing"/>
      <w:lvlText w:val="%1、"/>
      <w:lvlJc w:val="left"/>
      <w:rPr>
        <w:rFonts w:hint="eastAsia"/>
      </w:rPr>
    </w:lvl>
  </w:abstractNum>
  <w:abstractNum w:abstractNumId="2">
    <w:nsid w:val="224FFE1C"/>
    <w:multiLevelType w:val="singleLevel"/>
    <w:tmpl w:val="224FFE1C"/>
    <w:lvl w:ilvl="0" w:tentative="0">
      <w:start w:val="6"/>
      <w:numFmt w:val="decimal"/>
      <w:lvlText w:val="%1."/>
      <w:lvlJc w:val="left"/>
      <w:pPr>
        <w:tabs>
          <w:tab w:val="left" w:pos="312"/>
        </w:tabs>
      </w:pPr>
      <w:rPr>
        <w:rFonts w:hint="default" w:ascii="宋体" w:hAnsi="宋体" w:eastAsia="宋体" w:cs="宋体"/>
        <w:sz w:val="24"/>
        <w:szCs w:val="24"/>
      </w:rPr>
    </w:lvl>
  </w:abstractNum>
  <w:abstractNum w:abstractNumId="3">
    <w:nsid w:val="335A2EFA"/>
    <w:multiLevelType w:val="singleLevel"/>
    <w:tmpl w:val="335A2EFA"/>
    <w:lvl w:ilvl="0" w:tentative="0">
      <w:start w:val="1"/>
      <w:numFmt w:val="bullet"/>
      <w:lvlText w:val=""/>
      <w:lvlJc w:val="left"/>
      <w:pPr>
        <w:ind w:left="420" w:hanging="420"/>
      </w:pPr>
      <w:rPr>
        <w:rFonts w:hint="default" w:ascii="Wingdings" w:hAnsi="Wingdings"/>
      </w:rPr>
    </w:lvl>
  </w:abstractNum>
  <w:abstractNum w:abstractNumId="4">
    <w:nsid w:val="3484694F"/>
    <w:multiLevelType w:val="singleLevel"/>
    <w:tmpl w:val="3484694F"/>
    <w:lvl w:ilvl="0" w:tentative="0">
      <w:start w:val="2"/>
      <w:numFmt w:val="decimal"/>
      <w:lvlText w:val="%1."/>
      <w:lvlJc w:val="left"/>
      <w:pPr>
        <w:tabs>
          <w:tab w:val="left" w:pos="312"/>
        </w:tabs>
      </w:pPr>
    </w:lvl>
  </w:abstractNum>
  <w:abstractNum w:abstractNumId="5">
    <w:nsid w:val="65A3EAE8"/>
    <w:multiLevelType w:val="singleLevel"/>
    <w:tmpl w:val="65A3EAE8"/>
    <w:lvl w:ilvl="0" w:tentative="0">
      <w:start w:val="1"/>
      <w:numFmt w:val="decimal"/>
      <w:lvlText w:val="%1."/>
      <w:lvlJc w:val="left"/>
      <w:pPr>
        <w:ind w:left="425" w:hanging="425"/>
      </w:pPr>
      <w:rPr>
        <w:rFonts w:hint="default"/>
      </w:rPr>
    </w:lvl>
  </w:abstractNum>
  <w:abstractNum w:abstractNumId="6">
    <w:nsid w:val="6E5ECF3C"/>
    <w:multiLevelType w:val="multilevel"/>
    <w:tmpl w:val="6E5ECF3C"/>
    <w:lvl w:ilvl="0" w:tentative="0">
      <w:start w:val="2"/>
      <w:numFmt w:val="decimal"/>
      <w:lvlText w:val="第%1章"/>
      <w:lvlJc w:val="left"/>
      <w:pPr>
        <w:tabs>
          <w:tab w:val="left" w:pos="425"/>
        </w:tabs>
        <w:ind w:left="425" w:hanging="425"/>
      </w:pPr>
      <w:rPr>
        <w:rFonts w:hint="default" w:ascii="宋体" w:hAnsi="宋体" w:eastAsia="宋体" w:cs="宋体"/>
        <w:lang w:val="en-US"/>
      </w:rPr>
    </w:lvl>
    <w:lvl w:ilvl="1" w:tentative="0">
      <w:start w:val="1"/>
      <w:numFmt w:val="decimal"/>
      <w:isLgl/>
      <w:lvlText w:val="%1.%2"/>
      <w:lvlJc w:val="left"/>
      <w:pPr>
        <w:tabs>
          <w:tab w:val="left" w:pos="567"/>
        </w:tabs>
        <w:ind w:left="567" w:hanging="567"/>
      </w:pPr>
      <w:rPr>
        <w:rFonts w:hint="eastAsia"/>
      </w:rPr>
    </w:lvl>
    <w:lvl w:ilvl="2" w:tentative="0">
      <w:start w:val="1"/>
      <w:numFmt w:val="decimal"/>
      <w:pStyle w:val="4"/>
      <w:isLgl/>
      <w:lvlText w:val="%1.%2.%3"/>
      <w:lvlJc w:val="left"/>
      <w:pPr>
        <w:tabs>
          <w:tab w:val="left" w:pos="709"/>
        </w:tabs>
        <w:ind w:left="709" w:hanging="709"/>
      </w:pPr>
      <w:rPr>
        <w:rFonts w:hint="eastAsia"/>
      </w:rPr>
    </w:lvl>
    <w:lvl w:ilvl="3" w:tentative="0">
      <w:start w:val="1"/>
      <w:numFmt w:val="decimal"/>
      <w:isLgl/>
      <w:lvlText w:val="%1.%2.%3.%4"/>
      <w:lvlJc w:val="left"/>
      <w:pPr>
        <w:tabs>
          <w:tab w:val="left" w:pos="1080"/>
        </w:tabs>
        <w:ind w:left="851" w:hanging="851"/>
      </w:pPr>
      <w:rPr>
        <w:rFonts w:hint="eastAsia"/>
      </w:rPr>
    </w:lvl>
    <w:lvl w:ilvl="4" w:tentative="0">
      <w:start w:val="1"/>
      <w:numFmt w:val="decimal"/>
      <w:isLgl/>
      <w:lvlText w:val="%1.%2.%3.%4.%5"/>
      <w:lvlJc w:val="left"/>
      <w:pPr>
        <w:tabs>
          <w:tab w:val="left" w:pos="1440"/>
        </w:tabs>
        <w:ind w:left="992" w:hanging="992"/>
      </w:pPr>
      <w:rPr>
        <w:rFonts w:hint="eastAsia"/>
      </w:rPr>
    </w:lvl>
    <w:lvl w:ilvl="5" w:tentative="0">
      <w:start w:val="1"/>
      <w:numFmt w:val="decimal"/>
      <w:isLgl/>
      <w:lvlText w:val="%1.%2.%3.%4.%5.%6"/>
      <w:lvlJc w:val="left"/>
      <w:pPr>
        <w:tabs>
          <w:tab w:val="left" w:pos="1440"/>
        </w:tabs>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6"/>
  </w:num>
  <w:num w:numId="2">
    <w:abstractNumId w:val="3"/>
  </w:num>
  <w:num w:numId="3">
    <w:abstractNumId w:val="1"/>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zYzAzNGIxMThjZGI2ZTUxMjNiNGRjNWU1NDRkNGQifQ=="/>
  </w:docVars>
  <w:rsids>
    <w:rsidRoot w:val="00DB7B2F"/>
    <w:rsid w:val="00013951"/>
    <w:rsid w:val="00023B32"/>
    <w:rsid w:val="00024B86"/>
    <w:rsid w:val="00072B18"/>
    <w:rsid w:val="00080771"/>
    <w:rsid w:val="00087FE7"/>
    <w:rsid w:val="0009054E"/>
    <w:rsid w:val="000C4C13"/>
    <w:rsid w:val="000E013E"/>
    <w:rsid w:val="000F3545"/>
    <w:rsid w:val="000F3A3C"/>
    <w:rsid w:val="00100395"/>
    <w:rsid w:val="00100508"/>
    <w:rsid w:val="001027F2"/>
    <w:rsid w:val="00102ED4"/>
    <w:rsid w:val="0013136C"/>
    <w:rsid w:val="00135D0C"/>
    <w:rsid w:val="00136FF5"/>
    <w:rsid w:val="0015133C"/>
    <w:rsid w:val="00171A9C"/>
    <w:rsid w:val="00192827"/>
    <w:rsid w:val="001B747A"/>
    <w:rsid w:val="001E1315"/>
    <w:rsid w:val="001E67C0"/>
    <w:rsid w:val="001F6476"/>
    <w:rsid w:val="0021519E"/>
    <w:rsid w:val="00240AA5"/>
    <w:rsid w:val="002750B7"/>
    <w:rsid w:val="00281ED4"/>
    <w:rsid w:val="00291600"/>
    <w:rsid w:val="002951F3"/>
    <w:rsid w:val="002A7660"/>
    <w:rsid w:val="002A7E1F"/>
    <w:rsid w:val="002F023B"/>
    <w:rsid w:val="002F6729"/>
    <w:rsid w:val="00300E34"/>
    <w:rsid w:val="00305B2A"/>
    <w:rsid w:val="00311A5F"/>
    <w:rsid w:val="003278FC"/>
    <w:rsid w:val="00343241"/>
    <w:rsid w:val="00345D4A"/>
    <w:rsid w:val="003B513E"/>
    <w:rsid w:val="003C6A12"/>
    <w:rsid w:val="003C7910"/>
    <w:rsid w:val="00411B84"/>
    <w:rsid w:val="004136FB"/>
    <w:rsid w:val="00425C77"/>
    <w:rsid w:val="00430EF3"/>
    <w:rsid w:val="004319DF"/>
    <w:rsid w:val="004721D3"/>
    <w:rsid w:val="0048094F"/>
    <w:rsid w:val="00482C92"/>
    <w:rsid w:val="004E344B"/>
    <w:rsid w:val="0052008C"/>
    <w:rsid w:val="005423E9"/>
    <w:rsid w:val="00555528"/>
    <w:rsid w:val="00570D87"/>
    <w:rsid w:val="005B2CBA"/>
    <w:rsid w:val="005D4DF4"/>
    <w:rsid w:val="005D5682"/>
    <w:rsid w:val="005D68C8"/>
    <w:rsid w:val="005E29C9"/>
    <w:rsid w:val="005F13BF"/>
    <w:rsid w:val="005F776E"/>
    <w:rsid w:val="006405AA"/>
    <w:rsid w:val="006511AA"/>
    <w:rsid w:val="00653F48"/>
    <w:rsid w:val="0066481A"/>
    <w:rsid w:val="006649C9"/>
    <w:rsid w:val="006703F0"/>
    <w:rsid w:val="00673C8D"/>
    <w:rsid w:val="00683723"/>
    <w:rsid w:val="00697D81"/>
    <w:rsid w:val="006B2FFE"/>
    <w:rsid w:val="006D160D"/>
    <w:rsid w:val="006E2255"/>
    <w:rsid w:val="0070186C"/>
    <w:rsid w:val="00702048"/>
    <w:rsid w:val="00712023"/>
    <w:rsid w:val="0073095C"/>
    <w:rsid w:val="00735228"/>
    <w:rsid w:val="00760FD4"/>
    <w:rsid w:val="00766FF1"/>
    <w:rsid w:val="0079659A"/>
    <w:rsid w:val="007A045F"/>
    <w:rsid w:val="00821AFB"/>
    <w:rsid w:val="0085004E"/>
    <w:rsid w:val="0085081F"/>
    <w:rsid w:val="00864B59"/>
    <w:rsid w:val="00867C46"/>
    <w:rsid w:val="0088677B"/>
    <w:rsid w:val="008A1B0C"/>
    <w:rsid w:val="008A214F"/>
    <w:rsid w:val="008A7EFD"/>
    <w:rsid w:val="008B320B"/>
    <w:rsid w:val="008B4316"/>
    <w:rsid w:val="008E0C60"/>
    <w:rsid w:val="008E5DAF"/>
    <w:rsid w:val="008F00C1"/>
    <w:rsid w:val="008F25A6"/>
    <w:rsid w:val="008F5A77"/>
    <w:rsid w:val="00900280"/>
    <w:rsid w:val="009135C9"/>
    <w:rsid w:val="009214E2"/>
    <w:rsid w:val="00923165"/>
    <w:rsid w:val="00925E64"/>
    <w:rsid w:val="0093454D"/>
    <w:rsid w:val="00940452"/>
    <w:rsid w:val="009417F0"/>
    <w:rsid w:val="009754EF"/>
    <w:rsid w:val="009926FF"/>
    <w:rsid w:val="0099612C"/>
    <w:rsid w:val="009A492D"/>
    <w:rsid w:val="009A4FE6"/>
    <w:rsid w:val="009A53BC"/>
    <w:rsid w:val="009D3F4D"/>
    <w:rsid w:val="00A13462"/>
    <w:rsid w:val="00A46350"/>
    <w:rsid w:val="00A55E25"/>
    <w:rsid w:val="00A5638F"/>
    <w:rsid w:val="00A745A8"/>
    <w:rsid w:val="00AA7D53"/>
    <w:rsid w:val="00AC43AE"/>
    <w:rsid w:val="00AD592F"/>
    <w:rsid w:val="00B07A3E"/>
    <w:rsid w:val="00B13044"/>
    <w:rsid w:val="00B1744F"/>
    <w:rsid w:val="00B74956"/>
    <w:rsid w:val="00B81B64"/>
    <w:rsid w:val="00B84B5D"/>
    <w:rsid w:val="00B9199C"/>
    <w:rsid w:val="00BA557C"/>
    <w:rsid w:val="00BB2428"/>
    <w:rsid w:val="00BB2ADD"/>
    <w:rsid w:val="00BB700C"/>
    <w:rsid w:val="00BC7197"/>
    <w:rsid w:val="00C02F8A"/>
    <w:rsid w:val="00C35C26"/>
    <w:rsid w:val="00C5457C"/>
    <w:rsid w:val="00C67A25"/>
    <w:rsid w:val="00C76F93"/>
    <w:rsid w:val="00CB15DC"/>
    <w:rsid w:val="00CB3214"/>
    <w:rsid w:val="00CC4BCD"/>
    <w:rsid w:val="00CD384A"/>
    <w:rsid w:val="00D11FA7"/>
    <w:rsid w:val="00D33C79"/>
    <w:rsid w:val="00D47AA4"/>
    <w:rsid w:val="00D52FA1"/>
    <w:rsid w:val="00D53000"/>
    <w:rsid w:val="00D575A0"/>
    <w:rsid w:val="00D66B22"/>
    <w:rsid w:val="00D76668"/>
    <w:rsid w:val="00DB57B0"/>
    <w:rsid w:val="00DB7B2F"/>
    <w:rsid w:val="00DD188D"/>
    <w:rsid w:val="00DD22DC"/>
    <w:rsid w:val="00E01210"/>
    <w:rsid w:val="00E036D2"/>
    <w:rsid w:val="00E323BF"/>
    <w:rsid w:val="00E41AEB"/>
    <w:rsid w:val="00E470A0"/>
    <w:rsid w:val="00E74654"/>
    <w:rsid w:val="00E917C1"/>
    <w:rsid w:val="00E923EB"/>
    <w:rsid w:val="00EA2D66"/>
    <w:rsid w:val="00EB1822"/>
    <w:rsid w:val="00EC3D7F"/>
    <w:rsid w:val="00ED2208"/>
    <w:rsid w:val="00EE00E4"/>
    <w:rsid w:val="00EF6B53"/>
    <w:rsid w:val="00F01A24"/>
    <w:rsid w:val="00F043BD"/>
    <w:rsid w:val="00F17326"/>
    <w:rsid w:val="00F35A9F"/>
    <w:rsid w:val="00F81E58"/>
    <w:rsid w:val="00F83259"/>
    <w:rsid w:val="00F95C68"/>
    <w:rsid w:val="00FA1BA3"/>
    <w:rsid w:val="00FB173F"/>
    <w:rsid w:val="015A59C2"/>
    <w:rsid w:val="0167398B"/>
    <w:rsid w:val="01791910"/>
    <w:rsid w:val="017C3C88"/>
    <w:rsid w:val="01843C41"/>
    <w:rsid w:val="018F221E"/>
    <w:rsid w:val="01A42562"/>
    <w:rsid w:val="01BB34D6"/>
    <w:rsid w:val="01C47951"/>
    <w:rsid w:val="01CD526C"/>
    <w:rsid w:val="01CF42F0"/>
    <w:rsid w:val="01E63C72"/>
    <w:rsid w:val="01EC7241"/>
    <w:rsid w:val="01F176F8"/>
    <w:rsid w:val="02041417"/>
    <w:rsid w:val="022950E4"/>
    <w:rsid w:val="023F3622"/>
    <w:rsid w:val="024A69D2"/>
    <w:rsid w:val="024C0DD3"/>
    <w:rsid w:val="026608BA"/>
    <w:rsid w:val="02785329"/>
    <w:rsid w:val="02A710B9"/>
    <w:rsid w:val="02AB503A"/>
    <w:rsid w:val="02DE573B"/>
    <w:rsid w:val="02E903CF"/>
    <w:rsid w:val="030A6EC1"/>
    <w:rsid w:val="030F42DA"/>
    <w:rsid w:val="03166D2D"/>
    <w:rsid w:val="03182C9D"/>
    <w:rsid w:val="03380778"/>
    <w:rsid w:val="034026E5"/>
    <w:rsid w:val="034F2928"/>
    <w:rsid w:val="036B5288"/>
    <w:rsid w:val="037979A5"/>
    <w:rsid w:val="0385634A"/>
    <w:rsid w:val="03AE25DE"/>
    <w:rsid w:val="03B321BD"/>
    <w:rsid w:val="03B55C10"/>
    <w:rsid w:val="03BA27ED"/>
    <w:rsid w:val="03BE360A"/>
    <w:rsid w:val="03C2289D"/>
    <w:rsid w:val="03CF6C18"/>
    <w:rsid w:val="03D350D1"/>
    <w:rsid w:val="03D92040"/>
    <w:rsid w:val="03E32787"/>
    <w:rsid w:val="04180F6C"/>
    <w:rsid w:val="045B2BDB"/>
    <w:rsid w:val="04806B11"/>
    <w:rsid w:val="048B2A8C"/>
    <w:rsid w:val="04A7225F"/>
    <w:rsid w:val="04B1333E"/>
    <w:rsid w:val="04CE5ACF"/>
    <w:rsid w:val="04D1736D"/>
    <w:rsid w:val="04D82ED0"/>
    <w:rsid w:val="04E522D8"/>
    <w:rsid w:val="04E62E18"/>
    <w:rsid w:val="04E91253"/>
    <w:rsid w:val="05025BA4"/>
    <w:rsid w:val="05174A75"/>
    <w:rsid w:val="0517655D"/>
    <w:rsid w:val="052B1173"/>
    <w:rsid w:val="052B2F21"/>
    <w:rsid w:val="052C3EBC"/>
    <w:rsid w:val="052F60EA"/>
    <w:rsid w:val="05350285"/>
    <w:rsid w:val="05485881"/>
    <w:rsid w:val="056A57F8"/>
    <w:rsid w:val="059B4EEA"/>
    <w:rsid w:val="05A056BD"/>
    <w:rsid w:val="05A33817"/>
    <w:rsid w:val="05BB494B"/>
    <w:rsid w:val="05BB4BC3"/>
    <w:rsid w:val="05C25634"/>
    <w:rsid w:val="05DD4877"/>
    <w:rsid w:val="05DE61E6"/>
    <w:rsid w:val="06055520"/>
    <w:rsid w:val="06133C8F"/>
    <w:rsid w:val="061924BA"/>
    <w:rsid w:val="06281F2C"/>
    <w:rsid w:val="062A142B"/>
    <w:rsid w:val="06304C93"/>
    <w:rsid w:val="065C34DF"/>
    <w:rsid w:val="06746482"/>
    <w:rsid w:val="0691505F"/>
    <w:rsid w:val="069B1F8D"/>
    <w:rsid w:val="06A36105"/>
    <w:rsid w:val="06CB789E"/>
    <w:rsid w:val="06D132C7"/>
    <w:rsid w:val="06DA075B"/>
    <w:rsid w:val="06DB35D3"/>
    <w:rsid w:val="06DB5D83"/>
    <w:rsid w:val="07011D4F"/>
    <w:rsid w:val="07026C51"/>
    <w:rsid w:val="07152FA4"/>
    <w:rsid w:val="071C0D73"/>
    <w:rsid w:val="07265E1B"/>
    <w:rsid w:val="07373BE8"/>
    <w:rsid w:val="075302DA"/>
    <w:rsid w:val="075E313A"/>
    <w:rsid w:val="07680C05"/>
    <w:rsid w:val="07857E29"/>
    <w:rsid w:val="079120E6"/>
    <w:rsid w:val="07943B3F"/>
    <w:rsid w:val="0794597B"/>
    <w:rsid w:val="07C5765D"/>
    <w:rsid w:val="07F103B3"/>
    <w:rsid w:val="07F82844"/>
    <w:rsid w:val="07FF18CA"/>
    <w:rsid w:val="080F08D8"/>
    <w:rsid w:val="081959B9"/>
    <w:rsid w:val="08346AB0"/>
    <w:rsid w:val="086230FE"/>
    <w:rsid w:val="08715622"/>
    <w:rsid w:val="089470F2"/>
    <w:rsid w:val="0896212F"/>
    <w:rsid w:val="08A90D2D"/>
    <w:rsid w:val="08DA7138"/>
    <w:rsid w:val="08E63067"/>
    <w:rsid w:val="08F16230"/>
    <w:rsid w:val="09034E2D"/>
    <w:rsid w:val="090770C6"/>
    <w:rsid w:val="0922666B"/>
    <w:rsid w:val="092F0F53"/>
    <w:rsid w:val="09380B39"/>
    <w:rsid w:val="09502F56"/>
    <w:rsid w:val="09505959"/>
    <w:rsid w:val="09631DB4"/>
    <w:rsid w:val="09846F78"/>
    <w:rsid w:val="09A02821"/>
    <w:rsid w:val="09A27B2D"/>
    <w:rsid w:val="09AF2373"/>
    <w:rsid w:val="09E75075"/>
    <w:rsid w:val="0A067AB9"/>
    <w:rsid w:val="0A072465"/>
    <w:rsid w:val="0A141221"/>
    <w:rsid w:val="0A152875"/>
    <w:rsid w:val="0A1816AA"/>
    <w:rsid w:val="0A3C2CC6"/>
    <w:rsid w:val="0A560A40"/>
    <w:rsid w:val="0A723D3E"/>
    <w:rsid w:val="0A9D74A5"/>
    <w:rsid w:val="0AD27436"/>
    <w:rsid w:val="0AD334BF"/>
    <w:rsid w:val="0AED79EF"/>
    <w:rsid w:val="0AF86F5E"/>
    <w:rsid w:val="0B120315"/>
    <w:rsid w:val="0B18290E"/>
    <w:rsid w:val="0B26728D"/>
    <w:rsid w:val="0B3643CE"/>
    <w:rsid w:val="0B3F14D4"/>
    <w:rsid w:val="0B440EDA"/>
    <w:rsid w:val="0B560BD5"/>
    <w:rsid w:val="0B5D7BAD"/>
    <w:rsid w:val="0B61144B"/>
    <w:rsid w:val="0B7203CE"/>
    <w:rsid w:val="0B7576CD"/>
    <w:rsid w:val="0B7B0FA2"/>
    <w:rsid w:val="0B9B4B04"/>
    <w:rsid w:val="0B9F1186"/>
    <w:rsid w:val="0BAA37FC"/>
    <w:rsid w:val="0BC67500"/>
    <w:rsid w:val="0BC96FF0"/>
    <w:rsid w:val="0BE003DA"/>
    <w:rsid w:val="0BE4756A"/>
    <w:rsid w:val="0BEB2AB8"/>
    <w:rsid w:val="0C0D512F"/>
    <w:rsid w:val="0C125AEB"/>
    <w:rsid w:val="0C174F2F"/>
    <w:rsid w:val="0C1E0015"/>
    <w:rsid w:val="0C550242"/>
    <w:rsid w:val="0C640403"/>
    <w:rsid w:val="0C656D19"/>
    <w:rsid w:val="0C6E77E0"/>
    <w:rsid w:val="0C7B29E0"/>
    <w:rsid w:val="0C885A01"/>
    <w:rsid w:val="0C8B1BD3"/>
    <w:rsid w:val="0C931AD8"/>
    <w:rsid w:val="0CB22351"/>
    <w:rsid w:val="0CB41A4E"/>
    <w:rsid w:val="0CB528E2"/>
    <w:rsid w:val="0CBB4417"/>
    <w:rsid w:val="0CCD5485"/>
    <w:rsid w:val="0CE02843"/>
    <w:rsid w:val="0CE9794A"/>
    <w:rsid w:val="0D072BAD"/>
    <w:rsid w:val="0D0F0A06"/>
    <w:rsid w:val="0D107A41"/>
    <w:rsid w:val="0D1B6CA2"/>
    <w:rsid w:val="0D1E3FB9"/>
    <w:rsid w:val="0D2E0157"/>
    <w:rsid w:val="0D545EAD"/>
    <w:rsid w:val="0D6678F6"/>
    <w:rsid w:val="0D80214E"/>
    <w:rsid w:val="0D921D8F"/>
    <w:rsid w:val="0D9E28A1"/>
    <w:rsid w:val="0DC5584F"/>
    <w:rsid w:val="0DC614E4"/>
    <w:rsid w:val="0DD56120"/>
    <w:rsid w:val="0DD9427A"/>
    <w:rsid w:val="0E0662AA"/>
    <w:rsid w:val="0E181527"/>
    <w:rsid w:val="0E1A0520"/>
    <w:rsid w:val="0E4F1A2E"/>
    <w:rsid w:val="0E733766"/>
    <w:rsid w:val="0E7E7E56"/>
    <w:rsid w:val="0EEB2984"/>
    <w:rsid w:val="0EFC4554"/>
    <w:rsid w:val="0F040A6B"/>
    <w:rsid w:val="0F152C78"/>
    <w:rsid w:val="0F2B7D59"/>
    <w:rsid w:val="0F33716A"/>
    <w:rsid w:val="0F380715"/>
    <w:rsid w:val="0F3B30CB"/>
    <w:rsid w:val="0F3D21CF"/>
    <w:rsid w:val="0F447DC8"/>
    <w:rsid w:val="0F5A4B2F"/>
    <w:rsid w:val="0F5D403A"/>
    <w:rsid w:val="0F8E2A2A"/>
    <w:rsid w:val="0F977B31"/>
    <w:rsid w:val="0FB920F2"/>
    <w:rsid w:val="0FF02B41"/>
    <w:rsid w:val="0FFA1E6E"/>
    <w:rsid w:val="10142F30"/>
    <w:rsid w:val="101F2304"/>
    <w:rsid w:val="101F6D66"/>
    <w:rsid w:val="102F23FD"/>
    <w:rsid w:val="10437371"/>
    <w:rsid w:val="10480E2B"/>
    <w:rsid w:val="104B596A"/>
    <w:rsid w:val="10AC760C"/>
    <w:rsid w:val="10D65EC4"/>
    <w:rsid w:val="110E25CB"/>
    <w:rsid w:val="111453CB"/>
    <w:rsid w:val="111B209C"/>
    <w:rsid w:val="111E456B"/>
    <w:rsid w:val="11270A41"/>
    <w:rsid w:val="112D57B7"/>
    <w:rsid w:val="11357601"/>
    <w:rsid w:val="11374A61"/>
    <w:rsid w:val="11484C65"/>
    <w:rsid w:val="116C0B49"/>
    <w:rsid w:val="118849B0"/>
    <w:rsid w:val="11B30526"/>
    <w:rsid w:val="11B45189"/>
    <w:rsid w:val="11C271E5"/>
    <w:rsid w:val="11FF0976"/>
    <w:rsid w:val="120224E3"/>
    <w:rsid w:val="120F4684"/>
    <w:rsid w:val="12135469"/>
    <w:rsid w:val="121D74BC"/>
    <w:rsid w:val="121F796A"/>
    <w:rsid w:val="128D2B9C"/>
    <w:rsid w:val="128E689D"/>
    <w:rsid w:val="12C34799"/>
    <w:rsid w:val="12CD2127"/>
    <w:rsid w:val="12D3512E"/>
    <w:rsid w:val="12F41748"/>
    <w:rsid w:val="13255454"/>
    <w:rsid w:val="1329608C"/>
    <w:rsid w:val="1330400C"/>
    <w:rsid w:val="13392CAD"/>
    <w:rsid w:val="133D59E9"/>
    <w:rsid w:val="134266CA"/>
    <w:rsid w:val="13477178"/>
    <w:rsid w:val="135A1A5A"/>
    <w:rsid w:val="13623FB2"/>
    <w:rsid w:val="13756AAC"/>
    <w:rsid w:val="13771C94"/>
    <w:rsid w:val="138654D6"/>
    <w:rsid w:val="13986D70"/>
    <w:rsid w:val="139E27C3"/>
    <w:rsid w:val="13A22600"/>
    <w:rsid w:val="13AC77C1"/>
    <w:rsid w:val="13CD729A"/>
    <w:rsid w:val="13D12D43"/>
    <w:rsid w:val="13D824C6"/>
    <w:rsid w:val="13E11095"/>
    <w:rsid w:val="13E117D4"/>
    <w:rsid w:val="13F0122E"/>
    <w:rsid w:val="13FD017F"/>
    <w:rsid w:val="14084F17"/>
    <w:rsid w:val="141A7550"/>
    <w:rsid w:val="145D0D13"/>
    <w:rsid w:val="14661880"/>
    <w:rsid w:val="146E6986"/>
    <w:rsid w:val="1472368C"/>
    <w:rsid w:val="14853F10"/>
    <w:rsid w:val="148D2ECF"/>
    <w:rsid w:val="1492037F"/>
    <w:rsid w:val="149C5657"/>
    <w:rsid w:val="14A44728"/>
    <w:rsid w:val="14AA4CA9"/>
    <w:rsid w:val="14B364C3"/>
    <w:rsid w:val="14BE346A"/>
    <w:rsid w:val="14EB384D"/>
    <w:rsid w:val="14F23556"/>
    <w:rsid w:val="152D08EA"/>
    <w:rsid w:val="153D0282"/>
    <w:rsid w:val="154A6837"/>
    <w:rsid w:val="155D601F"/>
    <w:rsid w:val="158F65EE"/>
    <w:rsid w:val="15BD6BF1"/>
    <w:rsid w:val="15BF56EC"/>
    <w:rsid w:val="15D40A59"/>
    <w:rsid w:val="15FA4DB3"/>
    <w:rsid w:val="1601226A"/>
    <w:rsid w:val="160A26DF"/>
    <w:rsid w:val="16287735"/>
    <w:rsid w:val="162F1C16"/>
    <w:rsid w:val="1636437B"/>
    <w:rsid w:val="164F1B64"/>
    <w:rsid w:val="168154A4"/>
    <w:rsid w:val="16922E00"/>
    <w:rsid w:val="16BB344D"/>
    <w:rsid w:val="16D90CEA"/>
    <w:rsid w:val="16DE0A1B"/>
    <w:rsid w:val="16EB2510"/>
    <w:rsid w:val="170B4045"/>
    <w:rsid w:val="17347CCD"/>
    <w:rsid w:val="173F268A"/>
    <w:rsid w:val="174517C7"/>
    <w:rsid w:val="17465999"/>
    <w:rsid w:val="175D340E"/>
    <w:rsid w:val="17602EFE"/>
    <w:rsid w:val="17741378"/>
    <w:rsid w:val="17A01377"/>
    <w:rsid w:val="17C57205"/>
    <w:rsid w:val="17D5345B"/>
    <w:rsid w:val="180941E4"/>
    <w:rsid w:val="18156487"/>
    <w:rsid w:val="1816180F"/>
    <w:rsid w:val="181B49AF"/>
    <w:rsid w:val="181B5077"/>
    <w:rsid w:val="18226406"/>
    <w:rsid w:val="182A2338"/>
    <w:rsid w:val="1832560F"/>
    <w:rsid w:val="184C6FDF"/>
    <w:rsid w:val="18510A99"/>
    <w:rsid w:val="187628D8"/>
    <w:rsid w:val="187A2CCC"/>
    <w:rsid w:val="189D50A7"/>
    <w:rsid w:val="18AE1A47"/>
    <w:rsid w:val="18D05F20"/>
    <w:rsid w:val="18D94D16"/>
    <w:rsid w:val="18F6073A"/>
    <w:rsid w:val="193208CA"/>
    <w:rsid w:val="19341F4D"/>
    <w:rsid w:val="194B54E8"/>
    <w:rsid w:val="194F4199"/>
    <w:rsid w:val="19631BDC"/>
    <w:rsid w:val="196D3DCE"/>
    <w:rsid w:val="197C6C42"/>
    <w:rsid w:val="19B82646"/>
    <w:rsid w:val="19E219A9"/>
    <w:rsid w:val="1A01204B"/>
    <w:rsid w:val="1A14651F"/>
    <w:rsid w:val="1A1B135F"/>
    <w:rsid w:val="1A276E9C"/>
    <w:rsid w:val="1A2B77F4"/>
    <w:rsid w:val="1A304F20"/>
    <w:rsid w:val="1A39493E"/>
    <w:rsid w:val="1A496DC6"/>
    <w:rsid w:val="1A700F33"/>
    <w:rsid w:val="1A815666"/>
    <w:rsid w:val="1A92218B"/>
    <w:rsid w:val="1A93040C"/>
    <w:rsid w:val="1A9B4783"/>
    <w:rsid w:val="1A9B5FFB"/>
    <w:rsid w:val="1ABA24D7"/>
    <w:rsid w:val="1AC06E01"/>
    <w:rsid w:val="1AD555B1"/>
    <w:rsid w:val="1AFF216F"/>
    <w:rsid w:val="1B2D4875"/>
    <w:rsid w:val="1B58583F"/>
    <w:rsid w:val="1B8C10DB"/>
    <w:rsid w:val="1B9E3FF5"/>
    <w:rsid w:val="1BB24A27"/>
    <w:rsid w:val="1BD86033"/>
    <w:rsid w:val="1BEC2D54"/>
    <w:rsid w:val="1BF05261"/>
    <w:rsid w:val="1BF30359"/>
    <w:rsid w:val="1BF9747E"/>
    <w:rsid w:val="1C231472"/>
    <w:rsid w:val="1CBD04AB"/>
    <w:rsid w:val="1CBD27BF"/>
    <w:rsid w:val="1D1467CF"/>
    <w:rsid w:val="1D1A58FD"/>
    <w:rsid w:val="1D2D73DF"/>
    <w:rsid w:val="1D4031D2"/>
    <w:rsid w:val="1D4C66A8"/>
    <w:rsid w:val="1D6E4A67"/>
    <w:rsid w:val="1D717880"/>
    <w:rsid w:val="1D90796E"/>
    <w:rsid w:val="1D993144"/>
    <w:rsid w:val="1DC73430"/>
    <w:rsid w:val="1DED176D"/>
    <w:rsid w:val="1E0565AE"/>
    <w:rsid w:val="1E075E82"/>
    <w:rsid w:val="1E4C3F4A"/>
    <w:rsid w:val="1E517ECC"/>
    <w:rsid w:val="1E6C17DD"/>
    <w:rsid w:val="1E724A7C"/>
    <w:rsid w:val="1E737971"/>
    <w:rsid w:val="1E7A7A19"/>
    <w:rsid w:val="1E7B2E90"/>
    <w:rsid w:val="1E7D2DCF"/>
    <w:rsid w:val="1E844CEA"/>
    <w:rsid w:val="1E992394"/>
    <w:rsid w:val="1EE21909"/>
    <w:rsid w:val="1EE5154D"/>
    <w:rsid w:val="1EFA1261"/>
    <w:rsid w:val="1F330EF8"/>
    <w:rsid w:val="1F3F12FB"/>
    <w:rsid w:val="1F42113B"/>
    <w:rsid w:val="1F4867CF"/>
    <w:rsid w:val="1F747F6B"/>
    <w:rsid w:val="1F7C0BD3"/>
    <w:rsid w:val="1F8C3BB5"/>
    <w:rsid w:val="1F9A1488"/>
    <w:rsid w:val="1F9B3015"/>
    <w:rsid w:val="1F9E45C4"/>
    <w:rsid w:val="1FAD4807"/>
    <w:rsid w:val="1FD76287"/>
    <w:rsid w:val="203D60FE"/>
    <w:rsid w:val="20674F5F"/>
    <w:rsid w:val="20812DA6"/>
    <w:rsid w:val="20923F96"/>
    <w:rsid w:val="20A04735"/>
    <w:rsid w:val="20BA1993"/>
    <w:rsid w:val="20BF5B81"/>
    <w:rsid w:val="20D050A4"/>
    <w:rsid w:val="20DF4E94"/>
    <w:rsid w:val="20E406FC"/>
    <w:rsid w:val="20E9518E"/>
    <w:rsid w:val="21032F53"/>
    <w:rsid w:val="210466A8"/>
    <w:rsid w:val="211C7580"/>
    <w:rsid w:val="21521B0A"/>
    <w:rsid w:val="215A09BE"/>
    <w:rsid w:val="216F69E2"/>
    <w:rsid w:val="217306EE"/>
    <w:rsid w:val="217D4EC4"/>
    <w:rsid w:val="218872DA"/>
    <w:rsid w:val="218D12BB"/>
    <w:rsid w:val="21A30C42"/>
    <w:rsid w:val="21AB121A"/>
    <w:rsid w:val="21C347B6"/>
    <w:rsid w:val="21DB405A"/>
    <w:rsid w:val="21E708E7"/>
    <w:rsid w:val="21EA3977"/>
    <w:rsid w:val="21EB1137"/>
    <w:rsid w:val="22166FE0"/>
    <w:rsid w:val="221C2118"/>
    <w:rsid w:val="223C00C4"/>
    <w:rsid w:val="224C134E"/>
    <w:rsid w:val="22853819"/>
    <w:rsid w:val="228663C6"/>
    <w:rsid w:val="22AE0FC2"/>
    <w:rsid w:val="22E41BCF"/>
    <w:rsid w:val="22E5075C"/>
    <w:rsid w:val="231177A3"/>
    <w:rsid w:val="2335534E"/>
    <w:rsid w:val="233F290F"/>
    <w:rsid w:val="23483FA8"/>
    <w:rsid w:val="235F050E"/>
    <w:rsid w:val="239570C5"/>
    <w:rsid w:val="239F7835"/>
    <w:rsid w:val="23A81FF0"/>
    <w:rsid w:val="23C25D1A"/>
    <w:rsid w:val="23DE0C7D"/>
    <w:rsid w:val="23ED4E7C"/>
    <w:rsid w:val="23F01166"/>
    <w:rsid w:val="23F309CA"/>
    <w:rsid w:val="23F64217"/>
    <w:rsid w:val="240A3AB2"/>
    <w:rsid w:val="24202DAA"/>
    <w:rsid w:val="242A1C9E"/>
    <w:rsid w:val="24342F80"/>
    <w:rsid w:val="243F5F70"/>
    <w:rsid w:val="249B37C8"/>
    <w:rsid w:val="24A67704"/>
    <w:rsid w:val="24AF6E9D"/>
    <w:rsid w:val="24B34E24"/>
    <w:rsid w:val="24CA3519"/>
    <w:rsid w:val="24CF6694"/>
    <w:rsid w:val="24E023DE"/>
    <w:rsid w:val="24F37160"/>
    <w:rsid w:val="24F829C8"/>
    <w:rsid w:val="24FB27AF"/>
    <w:rsid w:val="250C2554"/>
    <w:rsid w:val="251C78A5"/>
    <w:rsid w:val="25225513"/>
    <w:rsid w:val="25313C17"/>
    <w:rsid w:val="25315BBF"/>
    <w:rsid w:val="25370270"/>
    <w:rsid w:val="254C2D14"/>
    <w:rsid w:val="25537BFE"/>
    <w:rsid w:val="255D6CCF"/>
    <w:rsid w:val="258129BE"/>
    <w:rsid w:val="258F5777"/>
    <w:rsid w:val="259E48B7"/>
    <w:rsid w:val="25E27B08"/>
    <w:rsid w:val="25F5515A"/>
    <w:rsid w:val="25FE3EC9"/>
    <w:rsid w:val="26370CF8"/>
    <w:rsid w:val="26492DAF"/>
    <w:rsid w:val="264D13E3"/>
    <w:rsid w:val="2651639F"/>
    <w:rsid w:val="26B52F54"/>
    <w:rsid w:val="26FC6074"/>
    <w:rsid w:val="272A6A46"/>
    <w:rsid w:val="272C0707"/>
    <w:rsid w:val="27337F19"/>
    <w:rsid w:val="275639D6"/>
    <w:rsid w:val="27577DD5"/>
    <w:rsid w:val="27936375"/>
    <w:rsid w:val="27B468AC"/>
    <w:rsid w:val="27D25752"/>
    <w:rsid w:val="27F751B9"/>
    <w:rsid w:val="280478D6"/>
    <w:rsid w:val="2818552E"/>
    <w:rsid w:val="2822079A"/>
    <w:rsid w:val="2824498D"/>
    <w:rsid w:val="284B0CE8"/>
    <w:rsid w:val="286E642D"/>
    <w:rsid w:val="287A11E5"/>
    <w:rsid w:val="287C56BE"/>
    <w:rsid w:val="28820D0A"/>
    <w:rsid w:val="28843D10"/>
    <w:rsid w:val="288F7A20"/>
    <w:rsid w:val="28902F18"/>
    <w:rsid w:val="28AA6119"/>
    <w:rsid w:val="28B02267"/>
    <w:rsid w:val="28BE1833"/>
    <w:rsid w:val="28E566C5"/>
    <w:rsid w:val="2900009D"/>
    <w:rsid w:val="290338E6"/>
    <w:rsid w:val="29071405"/>
    <w:rsid w:val="290A03D1"/>
    <w:rsid w:val="2964062C"/>
    <w:rsid w:val="29764776"/>
    <w:rsid w:val="29DD218D"/>
    <w:rsid w:val="29F85218"/>
    <w:rsid w:val="29FB2D1F"/>
    <w:rsid w:val="29FC5458"/>
    <w:rsid w:val="2A042187"/>
    <w:rsid w:val="2A080B08"/>
    <w:rsid w:val="2A1952E9"/>
    <w:rsid w:val="2A1D73C8"/>
    <w:rsid w:val="2A273408"/>
    <w:rsid w:val="2A446405"/>
    <w:rsid w:val="2A467631"/>
    <w:rsid w:val="2A56595E"/>
    <w:rsid w:val="2AB448E6"/>
    <w:rsid w:val="2AF53506"/>
    <w:rsid w:val="2AFB6D6E"/>
    <w:rsid w:val="2B370621"/>
    <w:rsid w:val="2B531FC2"/>
    <w:rsid w:val="2B8054C5"/>
    <w:rsid w:val="2B8865C5"/>
    <w:rsid w:val="2B8976F1"/>
    <w:rsid w:val="2BD669CE"/>
    <w:rsid w:val="2BDB5699"/>
    <w:rsid w:val="2C163E61"/>
    <w:rsid w:val="2C1E438C"/>
    <w:rsid w:val="2C3A5900"/>
    <w:rsid w:val="2C3A7725"/>
    <w:rsid w:val="2C4A772E"/>
    <w:rsid w:val="2C5F50DB"/>
    <w:rsid w:val="2C6B3A80"/>
    <w:rsid w:val="2C815A2A"/>
    <w:rsid w:val="2C891ED6"/>
    <w:rsid w:val="2CB51EAA"/>
    <w:rsid w:val="2CD94E8D"/>
    <w:rsid w:val="2D016192"/>
    <w:rsid w:val="2D1017C8"/>
    <w:rsid w:val="2D254867"/>
    <w:rsid w:val="2D2F0F51"/>
    <w:rsid w:val="2D564730"/>
    <w:rsid w:val="2D6A1F89"/>
    <w:rsid w:val="2D6F134E"/>
    <w:rsid w:val="2D796C27"/>
    <w:rsid w:val="2D855919"/>
    <w:rsid w:val="2D9700E6"/>
    <w:rsid w:val="2DAD772B"/>
    <w:rsid w:val="2DC711B4"/>
    <w:rsid w:val="2DD82DFD"/>
    <w:rsid w:val="2DDE1E86"/>
    <w:rsid w:val="2DE020CC"/>
    <w:rsid w:val="2E0F48DF"/>
    <w:rsid w:val="2E187C37"/>
    <w:rsid w:val="2E265F2B"/>
    <w:rsid w:val="2E4A75F1"/>
    <w:rsid w:val="2E7B1F74"/>
    <w:rsid w:val="2E892613"/>
    <w:rsid w:val="2E8E0A0F"/>
    <w:rsid w:val="2E9C1BFC"/>
    <w:rsid w:val="2EAA2D34"/>
    <w:rsid w:val="2EAD6128"/>
    <w:rsid w:val="2ED2428A"/>
    <w:rsid w:val="2EEF384E"/>
    <w:rsid w:val="2EF35FAE"/>
    <w:rsid w:val="2F0012A0"/>
    <w:rsid w:val="2F10084D"/>
    <w:rsid w:val="2F324D29"/>
    <w:rsid w:val="2F546A4D"/>
    <w:rsid w:val="2F68699C"/>
    <w:rsid w:val="2F794705"/>
    <w:rsid w:val="2F7A10CE"/>
    <w:rsid w:val="2F804B46"/>
    <w:rsid w:val="2F81557A"/>
    <w:rsid w:val="2F9510EA"/>
    <w:rsid w:val="2F971AE0"/>
    <w:rsid w:val="2FC873DC"/>
    <w:rsid w:val="2FD12490"/>
    <w:rsid w:val="2FF04D9E"/>
    <w:rsid w:val="30224D9D"/>
    <w:rsid w:val="30512BB9"/>
    <w:rsid w:val="305471D2"/>
    <w:rsid w:val="306B04F2"/>
    <w:rsid w:val="306D3728"/>
    <w:rsid w:val="307D04D8"/>
    <w:rsid w:val="308753D9"/>
    <w:rsid w:val="30D61D01"/>
    <w:rsid w:val="30DF2B62"/>
    <w:rsid w:val="30E65DCB"/>
    <w:rsid w:val="30EA5CD3"/>
    <w:rsid w:val="30FA09B9"/>
    <w:rsid w:val="31237E4E"/>
    <w:rsid w:val="312C3507"/>
    <w:rsid w:val="31327262"/>
    <w:rsid w:val="31425A9B"/>
    <w:rsid w:val="3146752E"/>
    <w:rsid w:val="315833EC"/>
    <w:rsid w:val="318D45D9"/>
    <w:rsid w:val="31AA4DE5"/>
    <w:rsid w:val="31C72E57"/>
    <w:rsid w:val="31CE470B"/>
    <w:rsid w:val="31DF525F"/>
    <w:rsid w:val="31E06CBE"/>
    <w:rsid w:val="31E30181"/>
    <w:rsid w:val="31F61B87"/>
    <w:rsid w:val="321150C9"/>
    <w:rsid w:val="3224687F"/>
    <w:rsid w:val="32413990"/>
    <w:rsid w:val="324A4F2A"/>
    <w:rsid w:val="325847E6"/>
    <w:rsid w:val="325A4D29"/>
    <w:rsid w:val="326276D3"/>
    <w:rsid w:val="326E7E26"/>
    <w:rsid w:val="32981347"/>
    <w:rsid w:val="32A75B7B"/>
    <w:rsid w:val="32B65F9A"/>
    <w:rsid w:val="32BA5757"/>
    <w:rsid w:val="32E504C8"/>
    <w:rsid w:val="331E378C"/>
    <w:rsid w:val="33315A30"/>
    <w:rsid w:val="33364265"/>
    <w:rsid w:val="33371696"/>
    <w:rsid w:val="333977F3"/>
    <w:rsid w:val="335039CF"/>
    <w:rsid w:val="33574D5E"/>
    <w:rsid w:val="33883169"/>
    <w:rsid w:val="33895955"/>
    <w:rsid w:val="339229D7"/>
    <w:rsid w:val="33AA071E"/>
    <w:rsid w:val="33AD2FBB"/>
    <w:rsid w:val="33C57F19"/>
    <w:rsid w:val="33C7072B"/>
    <w:rsid w:val="33C87A09"/>
    <w:rsid w:val="33E60277"/>
    <w:rsid w:val="33EF143A"/>
    <w:rsid w:val="34490640"/>
    <w:rsid w:val="34580D8D"/>
    <w:rsid w:val="346911EC"/>
    <w:rsid w:val="346C4839"/>
    <w:rsid w:val="348C0A37"/>
    <w:rsid w:val="34A312A3"/>
    <w:rsid w:val="34CE2DFE"/>
    <w:rsid w:val="34F47C5C"/>
    <w:rsid w:val="34FF7FF6"/>
    <w:rsid w:val="351F3617"/>
    <w:rsid w:val="35297D74"/>
    <w:rsid w:val="35306A77"/>
    <w:rsid w:val="35411821"/>
    <w:rsid w:val="35613C72"/>
    <w:rsid w:val="356F5461"/>
    <w:rsid w:val="35825087"/>
    <w:rsid w:val="35893CEE"/>
    <w:rsid w:val="35A401C8"/>
    <w:rsid w:val="35A60BD0"/>
    <w:rsid w:val="35A95619"/>
    <w:rsid w:val="35B218A9"/>
    <w:rsid w:val="35C97A69"/>
    <w:rsid w:val="35E1263E"/>
    <w:rsid w:val="361938D9"/>
    <w:rsid w:val="3621287D"/>
    <w:rsid w:val="3628478F"/>
    <w:rsid w:val="363E12C2"/>
    <w:rsid w:val="36554D38"/>
    <w:rsid w:val="367E0853"/>
    <w:rsid w:val="368A6F17"/>
    <w:rsid w:val="369661AD"/>
    <w:rsid w:val="36AC30EE"/>
    <w:rsid w:val="36AF1BE7"/>
    <w:rsid w:val="36CA7953"/>
    <w:rsid w:val="36CE7803"/>
    <w:rsid w:val="371A4A20"/>
    <w:rsid w:val="37405B09"/>
    <w:rsid w:val="374322CC"/>
    <w:rsid w:val="37460A52"/>
    <w:rsid w:val="37636529"/>
    <w:rsid w:val="37A0236E"/>
    <w:rsid w:val="37A429F1"/>
    <w:rsid w:val="37EC67FA"/>
    <w:rsid w:val="37FD10F0"/>
    <w:rsid w:val="37FE7E9E"/>
    <w:rsid w:val="3812280E"/>
    <w:rsid w:val="38172D0E"/>
    <w:rsid w:val="38174ABC"/>
    <w:rsid w:val="3829602B"/>
    <w:rsid w:val="386E513D"/>
    <w:rsid w:val="3892748F"/>
    <w:rsid w:val="38C1079D"/>
    <w:rsid w:val="38E47094"/>
    <w:rsid w:val="38F35529"/>
    <w:rsid w:val="39034BDC"/>
    <w:rsid w:val="39082BD2"/>
    <w:rsid w:val="39120B3C"/>
    <w:rsid w:val="39194863"/>
    <w:rsid w:val="397B51ED"/>
    <w:rsid w:val="397F6288"/>
    <w:rsid w:val="39822817"/>
    <w:rsid w:val="3995062E"/>
    <w:rsid w:val="399A3BF6"/>
    <w:rsid w:val="39B0341A"/>
    <w:rsid w:val="39B3556E"/>
    <w:rsid w:val="39C02A25"/>
    <w:rsid w:val="39CC66AD"/>
    <w:rsid w:val="39CD593A"/>
    <w:rsid w:val="39DA61C2"/>
    <w:rsid w:val="3A15327D"/>
    <w:rsid w:val="3A2801BE"/>
    <w:rsid w:val="3A2D45D0"/>
    <w:rsid w:val="3A6F4FC0"/>
    <w:rsid w:val="3A791DC3"/>
    <w:rsid w:val="3A962329"/>
    <w:rsid w:val="3A9F189B"/>
    <w:rsid w:val="3AA127D4"/>
    <w:rsid w:val="3AB0291D"/>
    <w:rsid w:val="3AED5FA8"/>
    <w:rsid w:val="3AFE7A5D"/>
    <w:rsid w:val="3B0515F5"/>
    <w:rsid w:val="3B1F0AEB"/>
    <w:rsid w:val="3B2B60D6"/>
    <w:rsid w:val="3B5953EB"/>
    <w:rsid w:val="3B646DDE"/>
    <w:rsid w:val="3B7C2623"/>
    <w:rsid w:val="3B80446C"/>
    <w:rsid w:val="3B8246B8"/>
    <w:rsid w:val="3B8E0955"/>
    <w:rsid w:val="3BBE1252"/>
    <w:rsid w:val="3BC0517B"/>
    <w:rsid w:val="3BF2034B"/>
    <w:rsid w:val="3C10418C"/>
    <w:rsid w:val="3C1B2E5A"/>
    <w:rsid w:val="3C2E7822"/>
    <w:rsid w:val="3C32397D"/>
    <w:rsid w:val="3C3D5831"/>
    <w:rsid w:val="3C424A40"/>
    <w:rsid w:val="3C776471"/>
    <w:rsid w:val="3C82394E"/>
    <w:rsid w:val="3C9C5ED7"/>
    <w:rsid w:val="3CA52FDE"/>
    <w:rsid w:val="3CAE221A"/>
    <w:rsid w:val="3CD42C1C"/>
    <w:rsid w:val="3CDE204C"/>
    <w:rsid w:val="3CE04016"/>
    <w:rsid w:val="3CE803BC"/>
    <w:rsid w:val="3CF65DB3"/>
    <w:rsid w:val="3D182116"/>
    <w:rsid w:val="3D240193"/>
    <w:rsid w:val="3D3575C6"/>
    <w:rsid w:val="3D5B04B3"/>
    <w:rsid w:val="3D5D12B4"/>
    <w:rsid w:val="3DA90CC9"/>
    <w:rsid w:val="3DC3452E"/>
    <w:rsid w:val="3DD671C7"/>
    <w:rsid w:val="3DD84BC4"/>
    <w:rsid w:val="3DE65CBC"/>
    <w:rsid w:val="3DF53AF1"/>
    <w:rsid w:val="3DF86180"/>
    <w:rsid w:val="3E06185A"/>
    <w:rsid w:val="3E522CF1"/>
    <w:rsid w:val="3E6F5EDD"/>
    <w:rsid w:val="3E790CA8"/>
    <w:rsid w:val="3E99447C"/>
    <w:rsid w:val="3EA94885"/>
    <w:rsid w:val="3EB07A18"/>
    <w:rsid w:val="3EC7731D"/>
    <w:rsid w:val="3ED25BE0"/>
    <w:rsid w:val="3ED7223A"/>
    <w:rsid w:val="3EDC080D"/>
    <w:rsid w:val="3EED42F4"/>
    <w:rsid w:val="3F0746D4"/>
    <w:rsid w:val="3F0D0B65"/>
    <w:rsid w:val="3F331A2F"/>
    <w:rsid w:val="3F4A39C9"/>
    <w:rsid w:val="3F5F43A3"/>
    <w:rsid w:val="3F8710C9"/>
    <w:rsid w:val="3FA806EF"/>
    <w:rsid w:val="3FCC6FDC"/>
    <w:rsid w:val="3FDF6807"/>
    <w:rsid w:val="3FEF3A4B"/>
    <w:rsid w:val="3FF722F8"/>
    <w:rsid w:val="40241309"/>
    <w:rsid w:val="4024246B"/>
    <w:rsid w:val="40361165"/>
    <w:rsid w:val="406B1E48"/>
    <w:rsid w:val="406E755A"/>
    <w:rsid w:val="409013C0"/>
    <w:rsid w:val="40A951E8"/>
    <w:rsid w:val="40BA66CD"/>
    <w:rsid w:val="40BD2BE0"/>
    <w:rsid w:val="40C854ED"/>
    <w:rsid w:val="40D566D8"/>
    <w:rsid w:val="40F63466"/>
    <w:rsid w:val="41120516"/>
    <w:rsid w:val="41126768"/>
    <w:rsid w:val="41133723"/>
    <w:rsid w:val="411656FB"/>
    <w:rsid w:val="413623FE"/>
    <w:rsid w:val="413C0E14"/>
    <w:rsid w:val="4148218A"/>
    <w:rsid w:val="41486887"/>
    <w:rsid w:val="415941BC"/>
    <w:rsid w:val="41635DA1"/>
    <w:rsid w:val="417D40FA"/>
    <w:rsid w:val="417F29AB"/>
    <w:rsid w:val="418B68CA"/>
    <w:rsid w:val="418C02C8"/>
    <w:rsid w:val="41B64893"/>
    <w:rsid w:val="41B85B42"/>
    <w:rsid w:val="41C9781A"/>
    <w:rsid w:val="41DF308E"/>
    <w:rsid w:val="421502BE"/>
    <w:rsid w:val="42845443"/>
    <w:rsid w:val="42856AA5"/>
    <w:rsid w:val="428B0EB8"/>
    <w:rsid w:val="42935686"/>
    <w:rsid w:val="429733C9"/>
    <w:rsid w:val="42B850ED"/>
    <w:rsid w:val="42C43A92"/>
    <w:rsid w:val="42DA5063"/>
    <w:rsid w:val="42F26851"/>
    <w:rsid w:val="43095949"/>
    <w:rsid w:val="433C32F5"/>
    <w:rsid w:val="43477D49"/>
    <w:rsid w:val="436C4A94"/>
    <w:rsid w:val="43731943"/>
    <w:rsid w:val="437B60F1"/>
    <w:rsid w:val="43A7763B"/>
    <w:rsid w:val="43B801FE"/>
    <w:rsid w:val="43C60E7C"/>
    <w:rsid w:val="43E71EF6"/>
    <w:rsid w:val="43E87C05"/>
    <w:rsid w:val="43EC504E"/>
    <w:rsid w:val="44246EDE"/>
    <w:rsid w:val="4456696C"/>
    <w:rsid w:val="449F21E6"/>
    <w:rsid w:val="44A60EAD"/>
    <w:rsid w:val="44A96A61"/>
    <w:rsid w:val="44B85878"/>
    <w:rsid w:val="44C67F95"/>
    <w:rsid w:val="44D818BC"/>
    <w:rsid w:val="44DD0516"/>
    <w:rsid w:val="44DE4886"/>
    <w:rsid w:val="44ED67F1"/>
    <w:rsid w:val="44FD02FD"/>
    <w:rsid w:val="451430BE"/>
    <w:rsid w:val="451E6353"/>
    <w:rsid w:val="45337098"/>
    <w:rsid w:val="453900A4"/>
    <w:rsid w:val="454B05FC"/>
    <w:rsid w:val="455235D7"/>
    <w:rsid w:val="45566B2C"/>
    <w:rsid w:val="45567DA1"/>
    <w:rsid w:val="4557299B"/>
    <w:rsid w:val="4565330A"/>
    <w:rsid w:val="456724F2"/>
    <w:rsid w:val="456A4DC4"/>
    <w:rsid w:val="45751C15"/>
    <w:rsid w:val="4577159C"/>
    <w:rsid w:val="45A8769B"/>
    <w:rsid w:val="45E166CC"/>
    <w:rsid w:val="45E566F2"/>
    <w:rsid w:val="45EA1A61"/>
    <w:rsid w:val="45FB2AFC"/>
    <w:rsid w:val="45FC3EB0"/>
    <w:rsid w:val="46192347"/>
    <w:rsid w:val="4630342A"/>
    <w:rsid w:val="464078D3"/>
    <w:rsid w:val="46737FB5"/>
    <w:rsid w:val="46827EEC"/>
    <w:rsid w:val="469B2D5C"/>
    <w:rsid w:val="469D252C"/>
    <w:rsid w:val="46A40748"/>
    <w:rsid w:val="46C75976"/>
    <w:rsid w:val="46F10BCE"/>
    <w:rsid w:val="470E79D1"/>
    <w:rsid w:val="471C3E9C"/>
    <w:rsid w:val="473016F6"/>
    <w:rsid w:val="47495F3B"/>
    <w:rsid w:val="475817B2"/>
    <w:rsid w:val="475F7CF6"/>
    <w:rsid w:val="479271AB"/>
    <w:rsid w:val="47C84024"/>
    <w:rsid w:val="47C87B80"/>
    <w:rsid w:val="47D73634"/>
    <w:rsid w:val="47D76015"/>
    <w:rsid w:val="47F04B43"/>
    <w:rsid w:val="47F71E45"/>
    <w:rsid w:val="480D5466"/>
    <w:rsid w:val="481914AB"/>
    <w:rsid w:val="482B78C5"/>
    <w:rsid w:val="48474AB2"/>
    <w:rsid w:val="48552861"/>
    <w:rsid w:val="485B03EF"/>
    <w:rsid w:val="48654872"/>
    <w:rsid w:val="48665891"/>
    <w:rsid w:val="489F4721"/>
    <w:rsid w:val="48A431AA"/>
    <w:rsid w:val="48C12F4D"/>
    <w:rsid w:val="48DE5218"/>
    <w:rsid w:val="48E80C2D"/>
    <w:rsid w:val="48EC5AF0"/>
    <w:rsid w:val="4905068C"/>
    <w:rsid w:val="49543DC1"/>
    <w:rsid w:val="4956636B"/>
    <w:rsid w:val="49793828"/>
    <w:rsid w:val="49795539"/>
    <w:rsid w:val="497A134E"/>
    <w:rsid w:val="49823044"/>
    <w:rsid w:val="49A56155"/>
    <w:rsid w:val="49A935E1"/>
    <w:rsid w:val="49BE5EED"/>
    <w:rsid w:val="49EA1F4C"/>
    <w:rsid w:val="49FE2E9A"/>
    <w:rsid w:val="4A032450"/>
    <w:rsid w:val="4A06792F"/>
    <w:rsid w:val="4A100B71"/>
    <w:rsid w:val="4A236C31"/>
    <w:rsid w:val="4A272DE6"/>
    <w:rsid w:val="4A3B1365"/>
    <w:rsid w:val="4A3E0872"/>
    <w:rsid w:val="4A6B72CD"/>
    <w:rsid w:val="4A957AD2"/>
    <w:rsid w:val="4AB13C76"/>
    <w:rsid w:val="4AB6404A"/>
    <w:rsid w:val="4ABA0E8E"/>
    <w:rsid w:val="4ABC2647"/>
    <w:rsid w:val="4ADC5ED8"/>
    <w:rsid w:val="4B1410C5"/>
    <w:rsid w:val="4B195F37"/>
    <w:rsid w:val="4B377422"/>
    <w:rsid w:val="4BBC0A92"/>
    <w:rsid w:val="4BC15012"/>
    <w:rsid w:val="4BE07B8E"/>
    <w:rsid w:val="4BEC0389"/>
    <w:rsid w:val="4BEE1FAE"/>
    <w:rsid w:val="4BF45D96"/>
    <w:rsid w:val="4BFD7185"/>
    <w:rsid w:val="4C086279"/>
    <w:rsid w:val="4C2C66D2"/>
    <w:rsid w:val="4C325F10"/>
    <w:rsid w:val="4C4B34D7"/>
    <w:rsid w:val="4C577725"/>
    <w:rsid w:val="4C5B7215"/>
    <w:rsid w:val="4C8D1398"/>
    <w:rsid w:val="4CAC6401"/>
    <w:rsid w:val="4CCC1EC1"/>
    <w:rsid w:val="4CE011AD"/>
    <w:rsid w:val="4D07739D"/>
    <w:rsid w:val="4D080DEB"/>
    <w:rsid w:val="4D1D271C"/>
    <w:rsid w:val="4D2C0BB1"/>
    <w:rsid w:val="4D3637DE"/>
    <w:rsid w:val="4D3D05EE"/>
    <w:rsid w:val="4D5123C6"/>
    <w:rsid w:val="4D5325E2"/>
    <w:rsid w:val="4D9346A8"/>
    <w:rsid w:val="4DA64194"/>
    <w:rsid w:val="4DB37209"/>
    <w:rsid w:val="4DB94354"/>
    <w:rsid w:val="4DBF37D4"/>
    <w:rsid w:val="4DE72C71"/>
    <w:rsid w:val="4DED0341"/>
    <w:rsid w:val="4DF558BF"/>
    <w:rsid w:val="4E1E04FA"/>
    <w:rsid w:val="4E29655B"/>
    <w:rsid w:val="4E4B5067"/>
    <w:rsid w:val="4E4D0478"/>
    <w:rsid w:val="4E5933E6"/>
    <w:rsid w:val="4E7E368F"/>
    <w:rsid w:val="4E8C099B"/>
    <w:rsid w:val="4E8D5680"/>
    <w:rsid w:val="4E90206A"/>
    <w:rsid w:val="4E9B1F11"/>
    <w:rsid w:val="4EA01F88"/>
    <w:rsid w:val="4EA053B3"/>
    <w:rsid w:val="4EA12ED9"/>
    <w:rsid w:val="4EB5278F"/>
    <w:rsid w:val="4EBC3ACC"/>
    <w:rsid w:val="4ED07FFB"/>
    <w:rsid w:val="4EEA4FAF"/>
    <w:rsid w:val="4EEC684A"/>
    <w:rsid w:val="4EF07E76"/>
    <w:rsid w:val="4EF4019C"/>
    <w:rsid w:val="4EF463E8"/>
    <w:rsid w:val="4EFE20DA"/>
    <w:rsid w:val="4F0A09C7"/>
    <w:rsid w:val="4F2204BE"/>
    <w:rsid w:val="4F2A2ECF"/>
    <w:rsid w:val="4F2E29BF"/>
    <w:rsid w:val="4F2E6E63"/>
    <w:rsid w:val="4F3124AF"/>
    <w:rsid w:val="4F8C3D94"/>
    <w:rsid w:val="4FBF387B"/>
    <w:rsid w:val="4FC53220"/>
    <w:rsid w:val="4FC973C6"/>
    <w:rsid w:val="500059B0"/>
    <w:rsid w:val="50034A70"/>
    <w:rsid w:val="500C0A43"/>
    <w:rsid w:val="5012408F"/>
    <w:rsid w:val="505A5A36"/>
    <w:rsid w:val="50674F92"/>
    <w:rsid w:val="506D3DE9"/>
    <w:rsid w:val="509A6770"/>
    <w:rsid w:val="50A60F3D"/>
    <w:rsid w:val="50DC3347"/>
    <w:rsid w:val="51021227"/>
    <w:rsid w:val="511839B2"/>
    <w:rsid w:val="51194CC5"/>
    <w:rsid w:val="5141515F"/>
    <w:rsid w:val="514536AA"/>
    <w:rsid w:val="514C1822"/>
    <w:rsid w:val="516941F2"/>
    <w:rsid w:val="51710336"/>
    <w:rsid w:val="517A68F1"/>
    <w:rsid w:val="519531C9"/>
    <w:rsid w:val="519D3E2C"/>
    <w:rsid w:val="51AE7DE7"/>
    <w:rsid w:val="51B178D7"/>
    <w:rsid w:val="51CD4504"/>
    <w:rsid w:val="51EA58D7"/>
    <w:rsid w:val="52045C59"/>
    <w:rsid w:val="52186D2D"/>
    <w:rsid w:val="52187B66"/>
    <w:rsid w:val="521C555B"/>
    <w:rsid w:val="52285DEB"/>
    <w:rsid w:val="522D3D2A"/>
    <w:rsid w:val="52374280"/>
    <w:rsid w:val="52436D95"/>
    <w:rsid w:val="525228AD"/>
    <w:rsid w:val="525C643F"/>
    <w:rsid w:val="526E5D5C"/>
    <w:rsid w:val="52707792"/>
    <w:rsid w:val="52832FAF"/>
    <w:rsid w:val="529154CD"/>
    <w:rsid w:val="52990A97"/>
    <w:rsid w:val="52AB4326"/>
    <w:rsid w:val="52CC0A7E"/>
    <w:rsid w:val="52CF44B9"/>
    <w:rsid w:val="52D40715"/>
    <w:rsid w:val="52EC1142"/>
    <w:rsid w:val="530917BC"/>
    <w:rsid w:val="530B6B2F"/>
    <w:rsid w:val="531D0C4C"/>
    <w:rsid w:val="53285977"/>
    <w:rsid w:val="532929FE"/>
    <w:rsid w:val="53504D19"/>
    <w:rsid w:val="536B11FD"/>
    <w:rsid w:val="536C4563"/>
    <w:rsid w:val="53702B4D"/>
    <w:rsid w:val="538D6F2A"/>
    <w:rsid w:val="538F7B53"/>
    <w:rsid w:val="539004A1"/>
    <w:rsid w:val="53982AFD"/>
    <w:rsid w:val="53A612B1"/>
    <w:rsid w:val="53EA2108"/>
    <w:rsid w:val="5406215C"/>
    <w:rsid w:val="540C7047"/>
    <w:rsid w:val="542566C1"/>
    <w:rsid w:val="543C0AB5"/>
    <w:rsid w:val="5443191F"/>
    <w:rsid w:val="547C5F7A"/>
    <w:rsid w:val="54932AC0"/>
    <w:rsid w:val="54A307EA"/>
    <w:rsid w:val="54AD6EE7"/>
    <w:rsid w:val="54C44D86"/>
    <w:rsid w:val="54D1276A"/>
    <w:rsid w:val="54EE53AE"/>
    <w:rsid w:val="54FC70BB"/>
    <w:rsid w:val="55016B7E"/>
    <w:rsid w:val="55256612"/>
    <w:rsid w:val="553423BF"/>
    <w:rsid w:val="553B4087"/>
    <w:rsid w:val="557F2A20"/>
    <w:rsid w:val="55BA0C66"/>
    <w:rsid w:val="56083532"/>
    <w:rsid w:val="563E2765"/>
    <w:rsid w:val="567D5FDA"/>
    <w:rsid w:val="56865901"/>
    <w:rsid w:val="568B4B9B"/>
    <w:rsid w:val="56A417B8"/>
    <w:rsid w:val="56AB5AC1"/>
    <w:rsid w:val="56B0716F"/>
    <w:rsid w:val="56C945FB"/>
    <w:rsid w:val="56CE1DB8"/>
    <w:rsid w:val="570904EC"/>
    <w:rsid w:val="570C6630"/>
    <w:rsid w:val="57364B06"/>
    <w:rsid w:val="57382C1F"/>
    <w:rsid w:val="573C5E95"/>
    <w:rsid w:val="57664CC0"/>
    <w:rsid w:val="577218B7"/>
    <w:rsid w:val="5775569D"/>
    <w:rsid w:val="57B5055A"/>
    <w:rsid w:val="57C33EC0"/>
    <w:rsid w:val="57D90A04"/>
    <w:rsid w:val="57FE742F"/>
    <w:rsid w:val="5827444F"/>
    <w:rsid w:val="58346B6C"/>
    <w:rsid w:val="585F77B3"/>
    <w:rsid w:val="58621356"/>
    <w:rsid w:val="58A756CB"/>
    <w:rsid w:val="58CB127E"/>
    <w:rsid w:val="58D5034F"/>
    <w:rsid w:val="58D72319"/>
    <w:rsid w:val="590150E0"/>
    <w:rsid w:val="59017794"/>
    <w:rsid w:val="59030E36"/>
    <w:rsid w:val="590A624B"/>
    <w:rsid w:val="591040EA"/>
    <w:rsid w:val="59116EBF"/>
    <w:rsid w:val="59257DB7"/>
    <w:rsid w:val="59350DEE"/>
    <w:rsid w:val="59460050"/>
    <w:rsid w:val="59464DA9"/>
    <w:rsid w:val="59474B7A"/>
    <w:rsid w:val="59750605"/>
    <w:rsid w:val="59922952"/>
    <w:rsid w:val="59B510C6"/>
    <w:rsid w:val="59CF2FF0"/>
    <w:rsid w:val="59DA62AE"/>
    <w:rsid w:val="59E75294"/>
    <w:rsid w:val="59F1740B"/>
    <w:rsid w:val="59F74A31"/>
    <w:rsid w:val="59FE5684"/>
    <w:rsid w:val="5A2C21F1"/>
    <w:rsid w:val="5A3F0176"/>
    <w:rsid w:val="5A75438E"/>
    <w:rsid w:val="5AA4447D"/>
    <w:rsid w:val="5AB32912"/>
    <w:rsid w:val="5AC42E7D"/>
    <w:rsid w:val="5B125EE8"/>
    <w:rsid w:val="5B136F0D"/>
    <w:rsid w:val="5B2C3611"/>
    <w:rsid w:val="5B322BEC"/>
    <w:rsid w:val="5B5B4ED1"/>
    <w:rsid w:val="5B6339F0"/>
    <w:rsid w:val="5B6D3F57"/>
    <w:rsid w:val="5B745BFD"/>
    <w:rsid w:val="5B765E19"/>
    <w:rsid w:val="5B7966D6"/>
    <w:rsid w:val="5B9C5AAD"/>
    <w:rsid w:val="5BB26726"/>
    <w:rsid w:val="5BDC1B0E"/>
    <w:rsid w:val="5BDD0A8F"/>
    <w:rsid w:val="5BF96B1A"/>
    <w:rsid w:val="5C1D5445"/>
    <w:rsid w:val="5C313978"/>
    <w:rsid w:val="5C36718D"/>
    <w:rsid w:val="5C4B3179"/>
    <w:rsid w:val="5C5B72B1"/>
    <w:rsid w:val="5C5D48E3"/>
    <w:rsid w:val="5CA45039"/>
    <w:rsid w:val="5CBA35B3"/>
    <w:rsid w:val="5CCB4A56"/>
    <w:rsid w:val="5CD95A35"/>
    <w:rsid w:val="5CF60894"/>
    <w:rsid w:val="5CFF1E3E"/>
    <w:rsid w:val="5CFF4D23"/>
    <w:rsid w:val="5D1067A1"/>
    <w:rsid w:val="5D2D3AF7"/>
    <w:rsid w:val="5D305825"/>
    <w:rsid w:val="5D3862B0"/>
    <w:rsid w:val="5D442F02"/>
    <w:rsid w:val="5D4B1A65"/>
    <w:rsid w:val="5D557CB0"/>
    <w:rsid w:val="5D6F0D72"/>
    <w:rsid w:val="5DB45698"/>
    <w:rsid w:val="5DB91FED"/>
    <w:rsid w:val="5DC7295C"/>
    <w:rsid w:val="5DED1C97"/>
    <w:rsid w:val="5DF748C4"/>
    <w:rsid w:val="5DFE3EA4"/>
    <w:rsid w:val="5E03770C"/>
    <w:rsid w:val="5E3574A1"/>
    <w:rsid w:val="5E5D71A3"/>
    <w:rsid w:val="5E637511"/>
    <w:rsid w:val="5E7D3D35"/>
    <w:rsid w:val="5E82580B"/>
    <w:rsid w:val="5EB00087"/>
    <w:rsid w:val="5EC36F60"/>
    <w:rsid w:val="5EC566F2"/>
    <w:rsid w:val="5ECA063B"/>
    <w:rsid w:val="5ED6384A"/>
    <w:rsid w:val="5EDD61AF"/>
    <w:rsid w:val="5EE237C6"/>
    <w:rsid w:val="5EE82464"/>
    <w:rsid w:val="5EEC1F4F"/>
    <w:rsid w:val="5F106CD9"/>
    <w:rsid w:val="5F172CC0"/>
    <w:rsid w:val="5F28389A"/>
    <w:rsid w:val="5F3C3982"/>
    <w:rsid w:val="5F4B1E35"/>
    <w:rsid w:val="5F577D10"/>
    <w:rsid w:val="5F630463"/>
    <w:rsid w:val="5F766F82"/>
    <w:rsid w:val="5F7D7C25"/>
    <w:rsid w:val="5F950838"/>
    <w:rsid w:val="5FA12D39"/>
    <w:rsid w:val="5FBC7B73"/>
    <w:rsid w:val="5FEA2932"/>
    <w:rsid w:val="6008663C"/>
    <w:rsid w:val="600C6A00"/>
    <w:rsid w:val="60326087"/>
    <w:rsid w:val="60375097"/>
    <w:rsid w:val="603F4C71"/>
    <w:rsid w:val="60454FC1"/>
    <w:rsid w:val="604D02D4"/>
    <w:rsid w:val="606721D5"/>
    <w:rsid w:val="60684C24"/>
    <w:rsid w:val="608A5EC3"/>
    <w:rsid w:val="609E39B0"/>
    <w:rsid w:val="60A056E7"/>
    <w:rsid w:val="60AB09DE"/>
    <w:rsid w:val="60B44587"/>
    <w:rsid w:val="60B975CE"/>
    <w:rsid w:val="60D30936"/>
    <w:rsid w:val="60DB227B"/>
    <w:rsid w:val="60E05AE3"/>
    <w:rsid w:val="60E923AC"/>
    <w:rsid w:val="60EE6452"/>
    <w:rsid w:val="610349CC"/>
    <w:rsid w:val="613E4A31"/>
    <w:rsid w:val="61461DEA"/>
    <w:rsid w:val="61572249"/>
    <w:rsid w:val="615B454A"/>
    <w:rsid w:val="6189617B"/>
    <w:rsid w:val="61897F29"/>
    <w:rsid w:val="618A333F"/>
    <w:rsid w:val="61A10164"/>
    <w:rsid w:val="61B50D1E"/>
    <w:rsid w:val="61BB77F2"/>
    <w:rsid w:val="61D11EB5"/>
    <w:rsid w:val="61D76EE6"/>
    <w:rsid w:val="620B713B"/>
    <w:rsid w:val="621E2D67"/>
    <w:rsid w:val="623460E6"/>
    <w:rsid w:val="62612891"/>
    <w:rsid w:val="62753841"/>
    <w:rsid w:val="627961EF"/>
    <w:rsid w:val="627B1F67"/>
    <w:rsid w:val="628131D9"/>
    <w:rsid w:val="628C7CD0"/>
    <w:rsid w:val="62922D69"/>
    <w:rsid w:val="629E1D17"/>
    <w:rsid w:val="62A82787"/>
    <w:rsid w:val="62AE7D54"/>
    <w:rsid w:val="62C731DE"/>
    <w:rsid w:val="62F05F82"/>
    <w:rsid w:val="631C3A98"/>
    <w:rsid w:val="632858D8"/>
    <w:rsid w:val="6339636C"/>
    <w:rsid w:val="633B2CF9"/>
    <w:rsid w:val="633D3DB3"/>
    <w:rsid w:val="634E78B1"/>
    <w:rsid w:val="636B1070"/>
    <w:rsid w:val="63732C3E"/>
    <w:rsid w:val="638C5B7F"/>
    <w:rsid w:val="63A532DC"/>
    <w:rsid w:val="63BE760D"/>
    <w:rsid w:val="63BF5E84"/>
    <w:rsid w:val="63D96C67"/>
    <w:rsid w:val="63EA3280"/>
    <w:rsid w:val="63F313D6"/>
    <w:rsid w:val="63F62175"/>
    <w:rsid w:val="63FF2724"/>
    <w:rsid w:val="64016ACB"/>
    <w:rsid w:val="64542425"/>
    <w:rsid w:val="646F78AA"/>
    <w:rsid w:val="648D5F82"/>
    <w:rsid w:val="649F40CC"/>
    <w:rsid w:val="64C179D9"/>
    <w:rsid w:val="64CD45D0"/>
    <w:rsid w:val="64E773F1"/>
    <w:rsid w:val="64FA606F"/>
    <w:rsid w:val="64FE134D"/>
    <w:rsid w:val="65061C32"/>
    <w:rsid w:val="650F6997"/>
    <w:rsid w:val="65110961"/>
    <w:rsid w:val="65215696"/>
    <w:rsid w:val="65235A5D"/>
    <w:rsid w:val="652E1A91"/>
    <w:rsid w:val="652F2B95"/>
    <w:rsid w:val="65380C12"/>
    <w:rsid w:val="654327CF"/>
    <w:rsid w:val="654E1AA4"/>
    <w:rsid w:val="65684B98"/>
    <w:rsid w:val="656D4DA2"/>
    <w:rsid w:val="658904F7"/>
    <w:rsid w:val="65A77A1D"/>
    <w:rsid w:val="65AE7F15"/>
    <w:rsid w:val="65C5353E"/>
    <w:rsid w:val="65CB60C3"/>
    <w:rsid w:val="65E55384"/>
    <w:rsid w:val="65EF4DEC"/>
    <w:rsid w:val="660C5642"/>
    <w:rsid w:val="66660838"/>
    <w:rsid w:val="66941B3B"/>
    <w:rsid w:val="669A75C1"/>
    <w:rsid w:val="669F6CD4"/>
    <w:rsid w:val="66AC6B93"/>
    <w:rsid w:val="66B420D8"/>
    <w:rsid w:val="66B92893"/>
    <w:rsid w:val="66C15E54"/>
    <w:rsid w:val="66C73098"/>
    <w:rsid w:val="66CD4D5B"/>
    <w:rsid w:val="66FF7A26"/>
    <w:rsid w:val="67057C39"/>
    <w:rsid w:val="67436A91"/>
    <w:rsid w:val="676905E0"/>
    <w:rsid w:val="676A497C"/>
    <w:rsid w:val="67982C74"/>
    <w:rsid w:val="67A85F1A"/>
    <w:rsid w:val="67B850C4"/>
    <w:rsid w:val="67BE28E9"/>
    <w:rsid w:val="67C33BC0"/>
    <w:rsid w:val="67D76500"/>
    <w:rsid w:val="67EC432A"/>
    <w:rsid w:val="681A7B2C"/>
    <w:rsid w:val="681C0A67"/>
    <w:rsid w:val="683F3A37"/>
    <w:rsid w:val="687C0A24"/>
    <w:rsid w:val="687D202D"/>
    <w:rsid w:val="688048B4"/>
    <w:rsid w:val="6883010D"/>
    <w:rsid w:val="688B051F"/>
    <w:rsid w:val="688D02FE"/>
    <w:rsid w:val="68AA69EE"/>
    <w:rsid w:val="68B25FB7"/>
    <w:rsid w:val="68E15E87"/>
    <w:rsid w:val="68E3284E"/>
    <w:rsid w:val="690E3956"/>
    <w:rsid w:val="690F0772"/>
    <w:rsid w:val="691D55AF"/>
    <w:rsid w:val="69407A67"/>
    <w:rsid w:val="694749AF"/>
    <w:rsid w:val="694D50B7"/>
    <w:rsid w:val="69531889"/>
    <w:rsid w:val="696F5C56"/>
    <w:rsid w:val="6982610C"/>
    <w:rsid w:val="6990213D"/>
    <w:rsid w:val="69CA7330"/>
    <w:rsid w:val="69D26648"/>
    <w:rsid w:val="69D35503"/>
    <w:rsid w:val="69EA352F"/>
    <w:rsid w:val="69EE74C3"/>
    <w:rsid w:val="69FD5EC3"/>
    <w:rsid w:val="6A127CEF"/>
    <w:rsid w:val="6A3D5D54"/>
    <w:rsid w:val="6A627BD9"/>
    <w:rsid w:val="6A891B49"/>
    <w:rsid w:val="6ACC68ED"/>
    <w:rsid w:val="6ACE43D9"/>
    <w:rsid w:val="6AD4717B"/>
    <w:rsid w:val="6AFE7680"/>
    <w:rsid w:val="6B2B4F53"/>
    <w:rsid w:val="6B3349F6"/>
    <w:rsid w:val="6B526213"/>
    <w:rsid w:val="6B553F4E"/>
    <w:rsid w:val="6B5567A7"/>
    <w:rsid w:val="6B673DBD"/>
    <w:rsid w:val="6B8579B3"/>
    <w:rsid w:val="6B9876E6"/>
    <w:rsid w:val="6B9C3CAA"/>
    <w:rsid w:val="6BAA205E"/>
    <w:rsid w:val="6BDF53D6"/>
    <w:rsid w:val="6BEA6992"/>
    <w:rsid w:val="6BEB1F0C"/>
    <w:rsid w:val="6BF173CC"/>
    <w:rsid w:val="6C115AE4"/>
    <w:rsid w:val="6C131EEB"/>
    <w:rsid w:val="6C247511"/>
    <w:rsid w:val="6C486F5E"/>
    <w:rsid w:val="6C7D5CF9"/>
    <w:rsid w:val="6C8379F3"/>
    <w:rsid w:val="6CAB3AEE"/>
    <w:rsid w:val="6CAD4DD0"/>
    <w:rsid w:val="6CAF430C"/>
    <w:rsid w:val="6CB06CB1"/>
    <w:rsid w:val="6CC07D5A"/>
    <w:rsid w:val="6CC162E3"/>
    <w:rsid w:val="6CD209D6"/>
    <w:rsid w:val="6CE4695B"/>
    <w:rsid w:val="6CEE468F"/>
    <w:rsid w:val="6CF463F0"/>
    <w:rsid w:val="6D0B213A"/>
    <w:rsid w:val="6D250BC3"/>
    <w:rsid w:val="6D360FCC"/>
    <w:rsid w:val="6D477DE3"/>
    <w:rsid w:val="6D4A0EB4"/>
    <w:rsid w:val="6D4A2C62"/>
    <w:rsid w:val="6D5D194F"/>
    <w:rsid w:val="6D677EF8"/>
    <w:rsid w:val="6D8629DC"/>
    <w:rsid w:val="6D873BE0"/>
    <w:rsid w:val="6DB1683D"/>
    <w:rsid w:val="6DB57A43"/>
    <w:rsid w:val="6DB958EA"/>
    <w:rsid w:val="6DC34A04"/>
    <w:rsid w:val="6DD154D2"/>
    <w:rsid w:val="6DE30B43"/>
    <w:rsid w:val="6DEE49AA"/>
    <w:rsid w:val="6E0F54AD"/>
    <w:rsid w:val="6E3A4A84"/>
    <w:rsid w:val="6E786B0E"/>
    <w:rsid w:val="6E8206E4"/>
    <w:rsid w:val="6E954B46"/>
    <w:rsid w:val="6EAB03DE"/>
    <w:rsid w:val="6EB0547A"/>
    <w:rsid w:val="6EB83BFB"/>
    <w:rsid w:val="6EC543B0"/>
    <w:rsid w:val="6ECB372C"/>
    <w:rsid w:val="6ECD25EA"/>
    <w:rsid w:val="6EEA0B09"/>
    <w:rsid w:val="6EEB519E"/>
    <w:rsid w:val="6EEC31A1"/>
    <w:rsid w:val="6EFD2760"/>
    <w:rsid w:val="6F4E0AFA"/>
    <w:rsid w:val="6F511C04"/>
    <w:rsid w:val="6F634FA8"/>
    <w:rsid w:val="6F926B42"/>
    <w:rsid w:val="6F981212"/>
    <w:rsid w:val="6F9A1E7B"/>
    <w:rsid w:val="6F9A591D"/>
    <w:rsid w:val="6FAB5825"/>
    <w:rsid w:val="6FB07A4A"/>
    <w:rsid w:val="6FB16FC8"/>
    <w:rsid w:val="6FD9651F"/>
    <w:rsid w:val="6FE075B7"/>
    <w:rsid w:val="6FE80510"/>
    <w:rsid w:val="7016766F"/>
    <w:rsid w:val="70202BD4"/>
    <w:rsid w:val="702A0B29"/>
    <w:rsid w:val="705029E0"/>
    <w:rsid w:val="70B11BFF"/>
    <w:rsid w:val="70C32A2E"/>
    <w:rsid w:val="70C4330E"/>
    <w:rsid w:val="70DC1E23"/>
    <w:rsid w:val="70E03949"/>
    <w:rsid w:val="70E64A50"/>
    <w:rsid w:val="70FA7EC8"/>
    <w:rsid w:val="710B2708"/>
    <w:rsid w:val="710F044A"/>
    <w:rsid w:val="71123A97"/>
    <w:rsid w:val="713E63D0"/>
    <w:rsid w:val="71441F71"/>
    <w:rsid w:val="71730046"/>
    <w:rsid w:val="717476DA"/>
    <w:rsid w:val="71877BF1"/>
    <w:rsid w:val="71902645"/>
    <w:rsid w:val="71952D4E"/>
    <w:rsid w:val="71DB0FD1"/>
    <w:rsid w:val="72007D93"/>
    <w:rsid w:val="72121334"/>
    <w:rsid w:val="72332AE0"/>
    <w:rsid w:val="72367C59"/>
    <w:rsid w:val="727670FA"/>
    <w:rsid w:val="727A1BE4"/>
    <w:rsid w:val="728F50FF"/>
    <w:rsid w:val="72907369"/>
    <w:rsid w:val="72964EFE"/>
    <w:rsid w:val="729A2222"/>
    <w:rsid w:val="72B0417E"/>
    <w:rsid w:val="72B31D84"/>
    <w:rsid w:val="72B66BF4"/>
    <w:rsid w:val="72D57472"/>
    <w:rsid w:val="72DD00D4"/>
    <w:rsid w:val="72F53ED4"/>
    <w:rsid w:val="732D09D6"/>
    <w:rsid w:val="734119EB"/>
    <w:rsid w:val="7352648D"/>
    <w:rsid w:val="73593B93"/>
    <w:rsid w:val="735A4A58"/>
    <w:rsid w:val="738E13CF"/>
    <w:rsid w:val="73B64B0B"/>
    <w:rsid w:val="73BE7F06"/>
    <w:rsid w:val="73D2750D"/>
    <w:rsid w:val="73D8428B"/>
    <w:rsid w:val="73DE4104"/>
    <w:rsid w:val="740C5C38"/>
    <w:rsid w:val="742C578B"/>
    <w:rsid w:val="742C71E6"/>
    <w:rsid w:val="74455F31"/>
    <w:rsid w:val="74602D6B"/>
    <w:rsid w:val="7479207F"/>
    <w:rsid w:val="74820899"/>
    <w:rsid w:val="7485033E"/>
    <w:rsid w:val="748A4BE9"/>
    <w:rsid w:val="74993630"/>
    <w:rsid w:val="74A96624"/>
    <w:rsid w:val="74AE7F7A"/>
    <w:rsid w:val="74E26C16"/>
    <w:rsid w:val="751D4246"/>
    <w:rsid w:val="751F5E7D"/>
    <w:rsid w:val="752823AF"/>
    <w:rsid w:val="75587739"/>
    <w:rsid w:val="75594EF5"/>
    <w:rsid w:val="75954C96"/>
    <w:rsid w:val="75AC7024"/>
    <w:rsid w:val="75C5745E"/>
    <w:rsid w:val="75D97140"/>
    <w:rsid w:val="75E02C6A"/>
    <w:rsid w:val="75F63223"/>
    <w:rsid w:val="762D3121"/>
    <w:rsid w:val="76342694"/>
    <w:rsid w:val="76530132"/>
    <w:rsid w:val="76536028"/>
    <w:rsid w:val="765B6442"/>
    <w:rsid w:val="76636B42"/>
    <w:rsid w:val="766F3739"/>
    <w:rsid w:val="766F54E7"/>
    <w:rsid w:val="768410A3"/>
    <w:rsid w:val="768457B1"/>
    <w:rsid w:val="7691545E"/>
    <w:rsid w:val="769767EC"/>
    <w:rsid w:val="76A258BD"/>
    <w:rsid w:val="76AC7B4F"/>
    <w:rsid w:val="76AE4262"/>
    <w:rsid w:val="76BF12EE"/>
    <w:rsid w:val="76C006BA"/>
    <w:rsid w:val="76CC6BA3"/>
    <w:rsid w:val="76CE66B2"/>
    <w:rsid w:val="76F42091"/>
    <w:rsid w:val="77070C89"/>
    <w:rsid w:val="772C33D8"/>
    <w:rsid w:val="773A78A3"/>
    <w:rsid w:val="774A3910"/>
    <w:rsid w:val="77733D07"/>
    <w:rsid w:val="777C7EBC"/>
    <w:rsid w:val="77AC0D8D"/>
    <w:rsid w:val="77B46856"/>
    <w:rsid w:val="77C14A2D"/>
    <w:rsid w:val="77C4031D"/>
    <w:rsid w:val="77EA36EE"/>
    <w:rsid w:val="78175941"/>
    <w:rsid w:val="78212AB2"/>
    <w:rsid w:val="782544BF"/>
    <w:rsid w:val="78297D56"/>
    <w:rsid w:val="782B5976"/>
    <w:rsid w:val="783F3051"/>
    <w:rsid w:val="78482494"/>
    <w:rsid w:val="78743289"/>
    <w:rsid w:val="78C2666A"/>
    <w:rsid w:val="78C37646"/>
    <w:rsid w:val="78DE05B9"/>
    <w:rsid w:val="78FF3382"/>
    <w:rsid w:val="792270B2"/>
    <w:rsid w:val="79404F19"/>
    <w:rsid w:val="798F0136"/>
    <w:rsid w:val="799D2289"/>
    <w:rsid w:val="79A26BCC"/>
    <w:rsid w:val="79C142AC"/>
    <w:rsid w:val="79C678FE"/>
    <w:rsid w:val="79CF5511"/>
    <w:rsid w:val="79F76435"/>
    <w:rsid w:val="79FC1788"/>
    <w:rsid w:val="7A04063C"/>
    <w:rsid w:val="7A102B3D"/>
    <w:rsid w:val="7A10703D"/>
    <w:rsid w:val="7A144D61"/>
    <w:rsid w:val="7A3D78FC"/>
    <w:rsid w:val="7A451EE0"/>
    <w:rsid w:val="7A4B0AE4"/>
    <w:rsid w:val="7A4D46FC"/>
    <w:rsid w:val="7A570593"/>
    <w:rsid w:val="7A5A04F0"/>
    <w:rsid w:val="7A5A6EA0"/>
    <w:rsid w:val="7A6A66F1"/>
    <w:rsid w:val="7A8C2B0C"/>
    <w:rsid w:val="7AC56B7D"/>
    <w:rsid w:val="7ADC79A2"/>
    <w:rsid w:val="7AE91D0C"/>
    <w:rsid w:val="7AEC5358"/>
    <w:rsid w:val="7AF058D3"/>
    <w:rsid w:val="7AF366E7"/>
    <w:rsid w:val="7B2A40D3"/>
    <w:rsid w:val="7B4E29FF"/>
    <w:rsid w:val="7B51263B"/>
    <w:rsid w:val="7B5C0D4F"/>
    <w:rsid w:val="7B737828"/>
    <w:rsid w:val="7B875081"/>
    <w:rsid w:val="7BEE5293"/>
    <w:rsid w:val="7BFD3F26"/>
    <w:rsid w:val="7C03596F"/>
    <w:rsid w:val="7C1009A7"/>
    <w:rsid w:val="7C145A07"/>
    <w:rsid w:val="7C1A5EF5"/>
    <w:rsid w:val="7C266648"/>
    <w:rsid w:val="7C34793A"/>
    <w:rsid w:val="7C5D2BBD"/>
    <w:rsid w:val="7C657DDE"/>
    <w:rsid w:val="7C6B6C0B"/>
    <w:rsid w:val="7C792C1C"/>
    <w:rsid w:val="7C947A56"/>
    <w:rsid w:val="7C991510"/>
    <w:rsid w:val="7CA81753"/>
    <w:rsid w:val="7CBE0B39"/>
    <w:rsid w:val="7CC22522"/>
    <w:rsid w:val="7CC40327"/>
    <w:rsid w:val="7CCF6CE0"/>
    <w:rsid w:val="7CDE6F23"/>
    <w:rsid w:val="7D1B2C1A"/>
    <w:rsid w:val="7D354782"/>
    <w:rsid w:val="7D3923AB"/>
    <w:rsid w:val="7D695B03"/>
    <w:rsid w:val="7D746B0F"/>
    <w:rsid w:val="7D761851"/>
    <w:rsid w:val="7D77214A"/>
    <w:rsid w:val="7D8D21B0"/>
    <w:rsid w:val="7D935F5F"/>
    <w:rsid w:val="7DA2758C"/>
    <w:rsid w:val="7DD32F82"/>
    <w:rsid w:val="7DDB16B4"/>
    <w:rsid w:val="7DEC1647"/>
    <w:rsid w:val="7DEC27D0"/>
    <w:rsid w:val="7E7C69F3"/>
    <w:rsid w:val="7E8413BB"/>
    <w:rsid w:val="7E8716E6"/>
    <w:rsid w:val="7E994542"/>
    <w:rsid w:val="7EA271CE"/>
    <w:rsid w:val="7ED36229"/>
    <w:rsid w:val="7EE97F66"/>
    <w:rsid w:val="7EF33E90"/>
    <w:rsid w:val="7F0661E2"/>
    <w:rsid w:val="7F2319DB"/>
    <w:rsid w:val="7F345520"/>
    <w:rsid w:val="7F56028B"/>
    <w:rsid w:val="7F5931D8"/>
    <w:rsid w:val="7F5B485B"/>
    <w:rsid w:val="7F610524"/>
    <w:rsid w:val="7F63752A"/>
    <w:rsid w:val="7F767868"/>
    <w:rsid w:val="7F79027F"/>
    <w:rsid w:val="7F8D6AD1"/>
    <w:rsid w:val="7FA078C8"/>
    <w:rsid w:val="7FAF71B6"/>
    <w:rsid w:val="7FD7600B"/>
    <w:rsid w:val="7FEE61B8"/>
    <w:rsid w:val="7FFE7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b/>
      <w:kern w:val="44"/>
      <w:sz w:val="28"/>
    </w:rPr>
  </w:style>
  <w:style w:type="paragraph" w:styleId="3">
    <w:name w:val="heading 2"/>
    <w:basedOn w:val="1"/>
    <w:next w:val="1"/>
    <w:link w:val="20"/>
    <w:unhideWhenUsed/>
    <w:qFormat/>
    <w:uiPriority w:val="9"/>
    <w:pPr>
      <w:keepNext/>
      <w:keepLines/>
      <w:spacing w:before="260" w:beforeLines="0" w:beforeAutospacing="0" w:after="260" w:afterLines="0" w:afterAutospacing="0" w:line="413" w:lineRule="auto"/>
      <w:outlineLvl w:val="1"/>
    </w:pPr>
    <w:rPr>
      <w:rFonts w:ascii="Arial" w:hAnsi="Arial" w:eastAsia="宋体"/>
      <w:b/>
      <w:sz w:val="32"/>
    </w:rPr>
  </w:style>
  <w:style w:type="paragraph" w:styleId="4">
    <w:name w:val="heading 3"/>
    <w:basedOn w:val="1"/>
    <w:next w:val="1"/>
    <w:link w:val="2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15">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7">
    <w:name w:val="annotation text"/>
    <w:basedOn w:val="1"/>
    <w:semiHidden/>
    <w:unhideWhenUsed/>
    <w:qFormat/>
    <w:uiPriority w:val="99"/>
    <w:pPr>
      <w:jc w:val="left"/>
    </w:pPr>
  </w:style>
  <w:style w:type="paragraph" w:styleId="8">
    <w:name w:val="toc 3"/>
    <w:basedOn w:val="1"/>
    <w:next w:val="1"/>
    <w:semiHidden/>
    <w:unhideWhenUsed/>
    <w:qFormat/>
    <w:uiPriority w:val="39"/>
    <w:pPr>
      <w:ind w:left="840" w:leftChars="400"/>
    </w:pPr>
  </w:style>
  <w:style w:type="paragraph" w:styleId="9">
    <w:name w:val="footer"/>
    <w:basedOn w:val="1"/>
    <w:link w:val="19"/>
    <w:unhideWhenUsed/>
    <w:qFormat/>
    <w:uiPriority w:val="99"/>
    <w:pPr>
      <w:tabs>
        <w:tab w:val="center" w:pos="4320"/>
        <w:tab w:val="right" w:pos="8640"/>
      </w:tabs>
      <w:snapToGrid w:val="0"/>
      <w:jc w:val="left"/>
    </w:pPr>
    <w:rPr>
      <w:sz w:val="18"/>
      <w:szCs w:val="18"/>
    </w:rPr>
  </w:style>
  <w:style w:type="paragraph" w:styleId="10">
    <w:name w:val="header"/>
    <w:basedOn w:val="1"/>
    <w:link w:val="18"/>
    <w:unhideWhenUsed/>
    <w:qFormat/>
    <w:uiPriority w:val="99"/>
    <w:pPr>
      <w:pBdr>
        <w:bottom w:val="single" w:color="auto" w:sz="6" w:space="1"/>
      </w:pBdr>
      <w:tabs>
        <w:tab w:val="center" w:pos="4320"/>
        <w:tab w:val="right" w:pos="8640"/>
      </w:tabs>
      <w:snapToGrid w:val="0"/>
      <w:jc w:val="center"/>
    </w:pPr>
    <w:rPr>
      <w:sz w:val="18"/>
      <w:szCs w:val="18"/>
    </w:rPr>
  </w:style>
  <w:style w:type="paragraph" w:styleId="11">
    <w:name w:val="toc 1"/>
    <w:basedOn w:val="1"/>
    <w:next w:val="1"/>
    <w:semiHidden/>
    <w:unhideWhenUsed/>
    <w:qFormat/>
    <w:uiPriority w:val="39"/>
  </w:style>
  <w:style w:type="paragraph" w:styleId="12">
    <w:name w:val="toc 4"/>
    <w:basedOn w:val="1"/>
    <w:next w:val="1"/>
    <w:semiHidden/>
    <w:unhideWhenUsed/>
    <w:qFormat/>
    <w:uiPriority w:val="39"/>
    <w:pPr>
      <w:ind w:left="1260" w:leftChars="600"/>
    </w:pPr>
  </w:style>
  <w:style w:type="paragraph" w:styleId="13">
    <w:name w:val="toc 2"/>
    <w:basedOn w:val="1"/>
    <w:next w:val="1"/>
    <w:semiHidden/>
    <w:unhideWhenUsed/>
    <w:qFormat/>
    <w:uiPriority w:val="39"/>
    <w:pPr>
      <w:ind w:left="420" w:leftChars="200"/>
    </w:pPr>
  </w:style>
  <w:style w:type="character" w:styleId="16">
    <w:name w:val="Hyperlink"/>
    <w:basedOn w:val="15"/>
    <w:semiHidden/>
    <w:unhideWhenUsed/>
    <w:qFormat/>
    <w:uiPriority w:val="99"/>
    <w:rPr>
      <w:color w:val="0000FF"/>
      <w:u w:val="single"/>
    </w:rPr>
  </w:style>
  <w:style w:type="paragraph" w:styleId="17">
    <w:name w:val="List Paragraph"/>
    <w:basedOn w:val="1"/>
    <w:qFormat/>
    <w:uiPriority w:val="34"/>
    <w:pPr>
      <w:ind w:firstLine="420" w:firstLineChars="200"/>
    </w:pPr>
  </w:style>
  <w:style w:type="character" w:customStyle="1" w:styleId="18">
    <w:name w:val="页眉 字符"/>
    <w:basedOn w:val="15"/>
    <w:link w:val="10"/>
    <w:qFormat/>
    <w:uiPriority w:val="99"/>
    <w:rPr>
      <w:sz w:val="18"/>
      <w:szCs w:val="18"/>
    </w:rPr>
  </w:style>
  <w:style w:type="character" w:customStyle="1" w:styleId="19">
    <w:name w:val="页脚 字符"/>
    <w:basedOn w:val="15"/>
    <w:link w:val="9"/>
    <w:qFormat/>
    <w:uiPriority w:val="99"/>
    <w:rPr>
      <w:sz w:val="18"/>
      <w:szCs w:val="18"/>
    </w:rPr>
  </w:style>
  <w:style w:type="character" w:customStyle="1" w:styleId="20">
    <w:name w:val="标题 2 Char"/>
    <w:link w:val="3"/>
    <w:qFormat/>
    <w:uiPriority w:val="9"/>
    <w:rPr>
      <w:rFonts w:ascii="Arial" w:hAnsi="Arial" w:eastAsia="宋体"/>
      <w:b/>
      <w:sz w:val="32"/>
    </w:rPr>
  </w:style>
  <w:style w:type="character" w:customStyle="1" w:styleId="21">
    <w:name w:val="标题 3 Char"/>
    <w:link w:val="4"/>
    <w:qFormat/>
    <w:uiPriority w:val="0"/>
    <w:rPr>
      <w:b/>
      <w:bCs/>
      <w:sz w:val="32"/>
      <w:szCs w:val="32"/>
    </w:rPr>
  </w:style>
  <w:style w:type="character" w:customStyle="1" w:styleId="22">
    <w:name w:val="标题 4 Char"/>
    <w:link w:val="5"/>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6.emf"/><Relationship Id="rId61" Type="http://schemas.openxmlformats.org/officeDocument/2006/relationships/oleObject" Target="embeddings/oleObject1.bin"/><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3381</Words>
  <Characters>3542</Characters>
  <Lines>0</Lines>
  <Paragraphs>0</Paragraphs>
  <TotalTime>0</TotalTime>
  <ScaleCrop>false</ScaleCrop>
  <LinksUpToDate>false</LinksUpToDate>
  <CharactersWithSpaces>3599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2020-02-13T03:23:00Z</dcterms:created>
  <dc:creator>咕咕</dc:creator>
  <cp:lastModifiedBy>15225</cp:lastModifiedBy>
  <dcterms:modified xsi:type="dcterms:W3CDTF">2026-04-21T06:15:15Z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04A761040E9646FC9D54897C7A33FF91_13</vt:lpwstr>
  </property>
  <property fmtid="{D5CDD505-2E9C-101B-9397-08002B2CF9AE}" pid="4" name="KSOTemplateDocerSaveRecord">
    <vt:lpwstr>eyJoZGlkIjoiNzI1MzljODBiNDliMzEyMzFlZWNlN2EzYjU0N2YzMWEiLCJ1c2VySWQiOiIyNzYyNzY4NTYifQ==</vt:lpwstr>
  </property>
</Properties>
</file>